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0B80C8">
      <w:pPr>
        <w:wordWrap w:val="0"/>
        <w:jc w:val="right"/>
        <w:rPr>
          <w:color w:val="auto"/>
        </w:rPr>
      </w:pPr>
    </w:p>
    <w:p w14:paraId="5F11005A">
      <w:pPr>
        <w:jc w:val="right"/>
        <w:rPr>
          <w:color w:val="auto"/>
        </w:rPr>
      </w:pPr>
    </w:p>
    <w:p w14:paraId="44BE11C0">
      <w:pPr>
        <w:jc w:val="right"/>
        <w:rPr>
          <w:color w:val="auto"/>
        </w:rPr>
      </w:pPr>
      <w:r>
        <w:rPr>
          <w:rFonts w:hint="eastAsia" w:hAnsi="宋体"/>
          <w:bCs/>
          <w:color w:val="auto"/>
        </w:rPr>
        <w:drawing>
          <wp:anchor distT="0" distB="0" distL="114300" distR="114300" simplePos="0" relativeHeight="251659264" behindDoc="0" locked="0" layoutInCell="1" allowOverlap="1">
            <wp:simplePos x="0" y="0"/>
            <wp:positionH relativeFrom="column">
              <wp:posOffset>4284980</wp:posOffset>
            </wp:positionH>
            <wp:positionV relativeFrom="paragraph">
              <wp:posOffset>-341630</wp:posOffset>
            </wp:positionV>
            <wp:extent cx="1696085" cy="1729105"/>
            <wp:effectExtent l="0" t="0" r="18415" b="4445"/>
            <wp:wrapNone/>
            <wp:docPr id="9" name="图片 5" descr="清山绿水-无名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清山绿水-无名称jpg"/>
                    <pic:cNvPicPr>
                      <a:picLocks noChangeAspect="1"/>
                    </pic:cNvPicPr>
                  </pic:nvPicPr>
                  <pic:blipFill>
                    <a:blip r:embed="rId8"/>
                    <a:stretch>
                      <a:fillRect/>
                    </a:stretch>
                  </pic:blipFill>
                  <pic:spPr>
                    <a:xfrm>
                      <a:off x="0" y="0"/>
                      <a:ext cx="1696085" cy="1729105"/>
                    </a:xfrm>
                    <a:prstGeom prst="rect">
                      <a:avLst/>
                    </a:prstGeom>
                    <a:noFill/>
                    <a:ln>
                      <a:noFill/>
                    </a:ln>
                  </pic:spPr>
                </pic:pic>
              </a:graphicData>
            </a:graphic>
          </wp:anchor>
        </w:drawing>
      </w:r>
    </w:p>
    <w:p w14:paraId="080670FD">
      <w:pPr>
        <w:jc w:val="right"/>
        <w:rPr>
          <w:b/>
          <w:bCs/>
          <w:color w:val="auto"/>
          <w:sz w:val="52"/>
          <w:szCs w:val="52"/>
        </w:rPr>
      </w:pPr>
    </w:p>
    <w:p w14:paraId="2A45E5B7">
      <w:pPr>
        <w:jc w:val="center"/>
        <w:rPr>
          <w:b/>
          <w:bCs/>
          <w:color w:val="auto"/>
          <w:sz w:val="36"/>
          <w:szCs w:val="36"/>
        </w:rPr>
      </w:pPr>
    </w:p>
    <w:p w14:paraId="16D0B0FD">
      <w:pPr>
        <w:jc w:val="center"/>
        <w:rPr>
          <w:b/>
          <w:bCs/>
          <w:color w:val="auto"/>
          <w:sz w:val="36"/>
          <w:szCs w:val="36"/>
        </w:rPr>
      </w:pPr>
    </w:p>
    <w:p w14:paraId="17BDC75F">
      <w:pPr>
        <w:jc w:val="center"/>
        <w:rPr>
          <w:b/>
          <w:bCs/>
          <w:color w:val="auto"/>
          <w:sz w:val="36"/>
          <w:szCs w:val="36"/>
        </w:rPr>
      </w:pPr>
    </w:p>
    <w:p w14:paraId="0A1AC576">
      <w:pPr>
        <w:spacing w:line="360" w:lineRule="auto"/>
        <w:jc w:val="center"/>
        <w:rPr>
          <w:b/>
          <w:color w:val="auto"/>
          <w:sz w:val="36"/>
          <w:szCs w:val="36"/>
        </w:rPr>
      </w:pPr>
    </w:p>
    <w:p w14:paraId="5088D489">
      <w:pPr>
        <w:spacing w:line="360" w:lineRule="auto"/>
        <w:jc w:val="center"/>
        <w:rPr>
          <w:b/>
          <w:color w:val="auto"/>
          <w:sz w:val="36"/>
          <w:szCs w:val="36"/>
        </w:rPr>
      </w:pPr>
      <w:r>
        <w:rPr>
          <w:rFonts w:hint="eastAsia"/>
          <w:b/>
          <w:color w:val="auto"/>
          <w:sz w:val="36"/>
          <w:szCs w:val="36"/>
        </w:rPr>
        <w:t>白山市江源区富辉建材有限公司机制砂建设项目</w:t>
      </w:r>
    </w:p>
    <w:p w14:paraId="2042FE2A">
      <w:pPr>
        <w:spacing w:line="360" w:lineRule="auto"/>
        <w:jc w:val="center"/>
        <w:rPr>
          <w:b/>
          <w:bCs/>
          <w:color w:val="auto"/>
          <w:sz w:val="52"/>
          <w:szCs w:val="52"/>
        </w:rPr>
      </w:pPr>
      <w:r>
        <w:rPr>
          <w:rFonts w:ascii="宋体" w:hAnsi="宋体"/>
          <w:b/>
          <w:bCs/>
          <w:color w:val="auto"/>
          <w:sz w:val="52"/>
          <w:szCs w:val="52"/>
        </w:rPr>
        <w:t>环境影响报告表</w:t>
      </w:r>
    </w:p>
    <w:p w14:paraId="2CF36379">
      <w:pPr>
        <w:rPr>
          <w:color w:val="auto"/>
          <w:sz w:val="28"/>
          <w:szCs w:val="28"/>
        </w:rPr>
      </w:pPr>
    </w:p>
    <w:p w14:paraId="134B62A6">
      <w:pPr>
        <w:rPr>
          <w:color w:val="auto"/>
          <w:sz w:val="28"/>
          <w:szCs w:val="28"/>
        </w:rPr>
      </w:pPr>
    </w:p>
    <w:p w14:paraId="00B2E610">
      <w:pPr>
        <w:rPr>
          <w:color w:val="auto"/>
          <w:sz w:val="28"/>
          <w:szCs w:val="28"/>
        </w:rPr>
      </w:pPr>
    </w:p>
    <w:p w14:paraId="0137C55F">
      <w:pPr>
        <w:rPr>
          <w:color w:val="auto"/>
        </w:rPr>
      </w:pPr>
    </w:p>
    <w:p w14:paraId="3C15A3DE">
      <w:pPr>
        <w:jc w:val="center"/>
        <w:rPr>
          <w:b/>
          <w:bCs/>
          <w:color w:val="auto"/>
          <w:sz w:val="32"/>
          <w:szCs w:val="32"/>
        </w:rPr>
      </w:pPr>
    </w:p>
    <w:p w14:paraId="7D2FC19A">
      <w:pPr>
        <w:jc w:val="center"/>
        <w:rPr>
          <w:b/>
          <w:bCs/>
          <w:color w:val="auto"/>
          <w:sz w:val="32"/>
          <w:szCs w:val="32"/>
        </w:rPr>
      </w:pPr>
    </w:p>
    <w:p w14:paraId="0BCDD32B">
      <w:pPr>
        <w:jc w:val="center"/>
        <w:rPr>
          <w:b/>
          <w:bCs/>
          <w:color w:val="auto"/>
          <w:sz w:val="32"/>
          <w:szCs w:val="32"/>
        </w:rPr>
      </w:pPr>
    </w:p>
    <w:p w14:paraId="01234698">
      <w:pPr>
        <w:jc w:val="center"/>
        <w:rPr>
          <w:b/>
          <w:bCs/>
          <w:color w:val="auto"/>
          <w:sz w:val="32"/>
          <w:szCs w:val="32"/>
        </w:rPr>
      </w:pPr>
    </w:p>
    <w:p w14:paraId="530E3109">
      <w:pPr>
        <w:jc w:val="center"/>
        <w:rPr>
          <w:b/>
          <w:bCs/>
          <w:color w:val="auto"/>
          <w:sz w:val="32"/>
          <w:szCs w:val="32"/>
        </w:rPr>
      </w:pPr>
    </w:p>
    <w:p w14:paraId="3127CB35">
      <w:pPr>
        <w:jc w:val="center"/>
        <w:rPr>
          <w:b/>
          <w:bCs/>
          <w:color w:val="auto"/>
          <w:sz w:val="32"/>
          <w:szCs w:val="32"/>
        </w:rPr>
      </w:pPr>
    </w:p>
    <w:p w14:paraId="5AEE45E1">
      <w:pPr>
        <w:jc w:val="center"/>
        <w:rPr>
          <w:b/>
          <w:bCs/>
          <w:color w:val="auto"/>
          <w:sz w:val="32"/>
          <w:szCs w:val="32"/>
        </w:rPr>
      </w:pPr>
    </w:p>
    <w:p w14:paraId="509752D1">
      <w:pPr>
        <w:jc w:val="center"/>
        <w:rPr>
          <w:b/>
          <w:bCs/>
          <w:color w:val="auto"/>
          <w:sz w:val="32"/>
          <w:szCs w:val="32"/>
        </w:rPr>
      </w:pPr>
    </w:p>
    <w:p w14:paraId="3EA942BB">
      <w:pPr>
        <w:jc w:val="center"/>
        <w:rPr>
          <w:b/>
          <w:bCs/>
          <w:color w:val="auto"/>
          <w:sz w:val="32"/>
          <w:szCs w:val="32"/>
        </w:rPr>
      </w:pPr>
    </w:p>
    <w:p w14:paraId="66521D61">
      <w:pPr>
        <w:jc w:val="center"/>
        <w:rPr>
          <w:b/>
          <w:bCs/>
          <w:color w:val="auto"/>
          <w:sz w:val="32"/>
          <w:szCs w:val="32"/>
        </w:rPr>
      </w:pPr>
    </w:p>
    <w:p w14:paraId="6BBA690A">
      <w:pPr>
        <w:jc w:val="center"/>
        <w:rPr>
          <w:b/>
          <w:bCs/>
          <w:color w:val="auto"/>
          <w:sz w:val="32"/>
          <w:szCs w:val="32"/>
        </w:rPr>
      </w:pPr>
    </w:p>
    <w:p w14:paraId="1DBE5D71">
      <w:pPr>
        <w:adjustRightInd w:val="0"/>
        <w:snapToGrid w:val="0"/>
        <w:spacing w:line="360" w:lineRule="auto"/>
        <w:jc w:val="center"/>
        <w:rPr>
          <w:b/>
          <w:bCs/>
          <w:color w:val="auto"/>
          <w:sz w:val="32"/>
          <w:szCs w:val="32"/>
        </w:rPr>
      </w:pPr>
      <w:r>
        <w:rPr>
          <w:rFonts w:hint="eastAsia" w:ascii="宋体" w:hAnsi="宋体"/>
          <w:b/>
          <w:bCs/>
          <w:color w:val="auto"/>
          <w:sz w:val="32"/>
          <w:szCs w:val="32"/>
        </w:rPr>
        <w:t>吉林省清山绿水环保科技有限公司</w:t>
      </w:r>
    </w:p>
    <w:p w14:paraId="315839B0">
      <w:pPr>
        <w:adjustRightInd w:val="0"/>
        <w:snapToGrid w:val="0"/>
        <w:spacing w:line="360" w:lineRule="auto"/>
        <w:jc w:val="center"/>
        <w:rPr>
          <w:color w:val="auto"/>
        </w:rPr>
      </w:pPr>
      <w:r>
        <w:rPr>
          <w:b/>
          <w:bCs/>
          <w:color w:val="auto"/>
          <w:sz w:val="32"/>
          <w:szCs w:val="32"/>
        </w:rPr>
        <w:t>20</w:t>
      </w:r>
      <w:r>
        <w:rPr>
          <w:rFonts w:hint="eastAsia"/>
          <w:b/>
          <w:bCs/>
          <w:color w:val="auto"/>
          <w:sz w:val="32"/>
          <w:szCs w:val="32"/>
        </w:rPr>
        <w:t>24</w:t>
      </w:r>
      <w:r>
        <w:rPr>
          <w:rFonts w:ascii="宋体" w:hAnsi="宋体"/>
          <w:b/>
          <w:bCs/>
          <w:color w:val="auto"/>
          <w:sz w:val="32"/>
          <w:szCs w:val="32"/>
        </w:rPr>
        <w:t>年</w:t>
      </w:r>
      <w:r>
        <w:rPr>
          <w:rFonts w:hint="eastAsia"/>
          <w:b/>
          <w:bCs/>
          <w:color w:val="auto"/>
          <w:sz w:val="32"/>
          <w:szCs w:val="32"/>
        </w:rPr>
        <w:t>8</w:t>
      </w:r>
      <w:r>
        <w:rPr>
          <w:rFonts w:ascii="宋体" w:hAnsi="宋体"/>
          <w:b/>
          <w:bCs/>
          <w:color w:val="auto"/>
          <w:sz w:val="32"/>
          <w:szCs w:val="32"/>
        </w:rPr>
        <w:t>月</w:t>
      </w:r>
    </w:p>
    <w:p w14:paraId="2F948815">
      <w:pPr>
        <w:rPr>
          <w:rFonts w:ascii="仿宋_GB2312" w:hAnsi="仿宋_GB2312" w:eastAsia="仿宋_GB2312" w:cs="仿宋_GB2312"/>
          <w:color w:val="auto"/>
          <w:sz w:val="36"/>
          <w:szCs w:val="36"/>
        </w:rPr>
      </w:pPr>
    </w:p>
    <w:p w14:paraId="7ABFF591">
      <w:pPr>
        <w:rPr>
          <w:rFonts w:ascii="仿宋_GB2312" w:hAnsi="仿宋_GB2312" w:eastAsia="仿宋_GB2312" w:cs="仿宋_GB2312"/>
          <w:color w:val="auto"/>
          <w:sz w:val="36"/>
          <w:szCs w:val="36"/>
        </w:rPr>
      </w:pPr>
    </w:p>
    <w:p w14:paraId="113676E6">
      <w:pPr>
        <w:rPr>
          <w:rFonts w:ascii="仿宋_GB2312" w:hAnsi="仿宋_GB2312" w:eastAsia="仿宋_GB2312" w:cs="仿宋_GB2312"/>
          <w:color w:val="auto"/>
          <w:sz w:val="36"/>
          <w:szCs w:val="36"/>
        </w:rPr>
      </w:pPr>
    </w:p>
    <w:p w14:paraId="79D4D4ED">
      <w:pPr>
        <w:rPr>
          <w:rFonts w:ascii="仿宋_GB2312" w:hAnsi="仿宋_GB2312" w:eastAsia="仿宋_GB2312" w:cs="仿宋_GB2312"/>
          <w:color w:val="auto"/>
          <w:sz w:val="36"/>
          <w:szCs w:val="36"/>
        </w:rPr>
      </w:pPr>
    </w:p>
    <w:p w14:paraId="150B5B81">
      <w:pPr>
        <w:rPr>
          <w:rFonts w:ascii="仿宋_GB2312" w:hAnsi="仿宋_GB2312" w:eastAsia="仿宋_GB2312" w:cs="仿宋_GB2312"/>
          <w:color w:val="auto"/>
          <w:sz w:val="36"/>
          <w:szCs w:val="36"/>
        </w:rPr>
      </w:pPr>
    </w:p>
    <w:p w14:paraId="25B90D46">
      <w:pPr>
        <w:rPr>
          <w:rFonts w:ascii="仿宋_GB2312" w:hAnsi="仿宋_GB2312" w:eastAsia="仿宋_GB2312" w:cs="仿宋_GB2312"/>
          <w:color w:val="auto"/>
          <w:sz w:val="36"/>
          <w:szCs w:val="36"/>
        </w:rPr>
      </w:pPr>
    </w:p>
    <w:p w14:paraId="20BEE36D">
      <w:pPr>
        <w:rPr>
          <w:rFonts w:ascii="仿宋_GB2312" w:hAnsi="仿宋_GB2312" w:eastAsia="仿宋_GB2312" w:cs="仿宋_GB2312"/>
          <w:color w:val="auto"/>
          <w:sz w:val="36"/>
          <w:szCs w:val="36"/>
        </w:rPr>
      </w:pPr>
    </w:p>
    <w:p w14:paraId="1546C648">
      <w:pPr>
        <w:rPr>
          <w:rFonts w:ascii="仿宋_GB2312" w:hAnsi="仿宋_GB2312" w:eastAsia="仿宋_GB2312" w:cs="仿宋_GB2312"/>
          <w:color w:val="auto"/>
          <w:sz w:val="36"/>
          <w:szCs w:val="36"/>
        </w:rPr>
      </w:pPr>
    </w:p>
    <w:p w14:paraId="12F481DC">
      <w:pPr>
        <w:adjustRightInd w:val="0"/>
        <w:snapToGrid w:val="0"/>
        <w:jc w:val="center"/>
        <w:outlineLvl w:val="0"/>
        <w:rPr>
          <w:rFonts w:asciiTheme="minorEastAsia" w:hAnsiTheme="minorEastAsia" w:eastAsiaTheme="minorEastAsia"/>
          <w:bCs/>
          <w:color w:val="auto"/>
          <w:sz w:val="72"/>
          <w:szCs w:val="72"/>
        </w:rPr>
      </w:pPr>
      <w:r>
        <w:rPr>
          <w:rFonts w:hint="eastAsia" w:asciiTheme="minorEastAsia" w:hAnsiTheme="minorEastAsia" w:eastAsiaTheme="minorEastAsia"/>
          <w:bCs/>
          <w:color w:val="auto"/>
          <w:sz w:val="72"/>
          <w:szCs w:val="72"/>
        </w:rPr>
        <w:t>建设项目环境影响报告表</w:t>
      </w:r>
    </w:p>
    <w:p w14:paraId="14F115A8">
      <w:pPr>
        <w:adjustRightInd w:val="0"/>
        <w:snapToGrid w:val="0"/>
        <w:spacing w:beforeLines="80"/>
        <w:jc w:val="center"/>
        <w:rPr>
          <w:rFonts w:asciiTheme="minorEastAsia" w:hAnsiTheme="minorEastAsia" w:eastAsiaTheme="minorEastAsia"/>
          <w:bCs/>
          <w:color w:val="auto"/>
          <w:sz w:val="48"/>
          <w:szCs w:val="48"/>
        </w:rPr>
      </w:pPr>
      <w:r>
        <w:rPr>
          <w:rFonts w:hint="eastAsia" w:asciiTheme="minorEastAsia" w:hAnsiTheme="minorEastAsia" w:eastAsiaTheme="minorEastAsia"/>
          <w:bCs/>
          <w:color w:val="auto"/>
          <w:sz w:val="48"/>
          <w:szCs w:val="48"/>
        </w:rPr>
        <w:t>（污染影响类）</w:t>
      </w:r>
    </w:p>
    <w:p w14:paraId="271D6A6F">
      <w:pPr>
        <w:adjustRightInd w:val="0"/>
        <w:snapToGrid w:val="0"/>
        <w:spacing w:line="288" w:lineRule="auto"/>
        <w:jc w:val="center"/>
        <w:outlineLvl w:val="0"/>
        <w:rPr>
          <w:rFonts w:cs="华文仿宋" w:asciiTheme="minorEastAsia" w:hAnsiTheme="minorEastAsia" w:eastAsiaTheme="minorEastAsia"/>
          <w:color w:val="auto"/>
          <w:kern w:val="44"/>
          <w:sz w:val="44"/>
          <w:szCs w:val="44"/>
        </w:rPr>
      </w:pPr>
    </w:p>
    <w:p w14:paraId="6F785882">
      <w:pPr>
        <w:jc w:val="center"/>
        <w:rPr>
          <w:rFonts w:asciiTheme="minorEastAsia" w:hAnsiTheme="minorEastAsia" w:eastAsiaTheme="minorEastAsia"/>
          <w:color w:val="auto"/>
          <w:sz w:val="52"/>
          <w:szCs w:val="52"/>
        </w:rPr>
      </w:pPr>
    </w:p>
    <w:p w14:paraId="0AC91DCB">
      <w:pPr>
        <w:jc w:val="center"/>
        <w:rPr>
          <w:rFonts w:asciiTheme="minorEastAsia" w:hAnsiTheme="minorEastAsia" w:eastAsiaTheme="minorEastAsia"/>
          <w:color w:val="auto"/>
          <w:sz w:val="52"/>
          <w:szCs w:val="52"/>
        </w:rPr>
      </w:pPr>
    </w:p>
    <w:p w14:paraId="0F9E9ECD">
      <w:pPr>
        <w:jc w:val="center"/>
        <w:rPr>
          <w:rFonts w:asciiTheme="minorEastAsia" w:hAnsiTheme="minorEastAsia" w:eastAsiaTheme="minorEastAsia"/>
          <w:color w:val="auto"/>
          <w:sz w:val="52"/>
          <w:szCs w:val="52"/>
        </w:rPr>
      </w:pPr>
    </w:p>
    <w:p w14:paraId="4FC60136">
      <w:pPr>
        <w:jc w:val="center"/>
        <w:rPr>
          <w:rFonts w:asciiTheme="minorEastAsia" w:hAnsiTheme="minorEastAsia" w:eastAsiaTheme="minorEastAsia"/>
          <w:color w:val="auto"/>
          <w:sz w:val="52"/>
          <w:szCs w:val="52"/>
        </w:rPr>
      </w:pPr>
    </w:p>
    <w:p w14:paraId="3FAC171B">
      <w:pPr>
        <w:jc w:val="center"/>
        <w:rPr>
          <w:rFonts w:asciiTheme="minorEastAsia" w:hAnsiTheme="minorEastAsia" w:eastAsiaTheme="minorEastAsia"/>
          <w:color w:val="auto"/>
          <w:sz w:val="52"/>
          <w:szCs w:val="52"/>
        </w:rPr>
      </w:pPr>
    </w:p>
    <w:p w14:paraId="4D46B365">
      <w:pPr>
        <w:spacing w:line="480" w:lineRule="auto"/>
        <w:ind w:firstLine="1038"/>
        <w:rPr>
          <w:rFonts w:eastAsiaTheme="minorEastAsia"/>
          <w:color w:val="auto"/>
          <w:sz w:val="28"/>
          <w:szCs w:val="28"/>
        </w:rPr>
      </w:pPr>
    </w:p>
    <w:p w14:paraId="51E7F345">
      <w:pPr>
        <w:adjustRightInd w:val="0"/>
        <w:snapToGrid w:val="0"/>
        <w:spacing w:line="360" w:lineRule="auto"/>
        <w:ind w:firstLine="1037"/>
        <w:rPr>
          <w:rFonts w:eastAsiaTheme="minorEastAsia"/>
          <w:color w:val="auto"/>
          <w:sz w:val="32"/>
          <w:szCs w:val="32"/>
        </w:rPr>
      </w:pPr>
      <w:r>
        <w:rPr>
          <w:rFonts w:hAnsiTheme="minorEastAsia" w:eastAsiaTheme="minorEastAsia"/>
          <w:color w:val="auto"/>
          <w:sz w:val="32"/>
          <w:szCs w:val="32"/>
        </w:rPr>
        <w:t>项目名称：</w:t>
      </w:r>
      <w:r>
        <w:rPr>
          <w:rFonts w:hint="eastAsia" w:hAnsiTheme="minorEastAsia" w:eastAsiaTheme="minorEastAsia"/>
          <w:color w:val="auto"/>
          <w:sz w:val="32"/>
          <w:szCs w:val="32"/>
          <w:u w:val="single"/>
        </w:rPr>
        <w:t>白山市江源区富辉建材有限公司机制砂建设项目</w:t>
      </w:r>
    </w:p>
    <w:p w14:paraId="78E2636A">
      <w:pPr>
        <w:adjustRightInd w:val="0"/>
        <w:snapToGrid w:val="0"/>
        <w:spacing w:line="360" w:lineRule="auto"/>
        <w:ind w:firstLine="1037"/>
        <w:rPr>
          <w:rFonts w:eastAsiaTheme="minorEastAsia"/>
          <w:color w:val="auto"/>
          <w:sz w:val="32"/>
          <w:szCs w:val="32"/>
        </w:rPr>
      </w:pPr>
      <w:r>
        <w:rPr>
          <w:rFonts w:hAnsiTheme="minorEastAsia" w:eastAsiaTheme="minorEastAsia"/>
          <w:color w:val="auto"/>
          <w:sz w:val="32"/>
          <w:szCs w:val="32"/>
        </w:rPr>
        <w:t>建设单位（盖章）：</w:t>
      </w:r>
      <w:r>
        <w:rPr>
          <w:rFonts w:hint="eastAsia" w:hAnsiTheme="minorEastAsia" w:eastAsiaTheme="minorEastAsia"/>
          <w:color w:val="auto"/>
          <w:sz w:val="32"/>
          <w:szCs w:val="32"/>
          <w:u w:val="single"/>
        </w:rPr>
        <w:t>白山市江源区富辉建材有限公司</w:t>
      </w:r>
    </w:p>
    <w:p w14:paraId="4116D78B">
      <w:pPr>
        <w:adjustRightInd w:val="0"/>
        <w:snapToGrid w:val="0"/>
        <w:spacing w:line="360" w:lineRule="auto"/>
        <w:ind w:firstLine="1037"/>
        <w:rPr>
          <w:rFonts w:eastAsiaTheme="minorEastAsia"/>
          <w:color w:val="auto"/>
          <w:sz w:val="32"/>
          <w:szCs w:val="32"/>
        </w:rPr>
      </w:pPr>
      <w:r>
        <w:rPr>
          <w:rFonts w:hAnsiTheme="minorEastAsia" w:eastAsiaTheme="minorEastAsia"/>
          <w:color w:val="auto"/>
          <w:sz w:val="32"/>
          <w:szCs w:val="32"/>
        </w:rPr>
        <w:t>编制日期：</w:t>
      </w:r>
      <w:r>
        <w:rPr>
          <w:rFonts w:eastAsiaTheme="minorEastAsia"/>
          <w:color w:val="auto"/>
          <w:sz w:val="32"/>
          <w:szCs w:val="32"/>
          <w:u w:val="single"/>
        </w:rPr>
        <w:t>20</w:t>
      </w:r>
      <w:r>
        <w:rPr>
          <w:rFonts w:hint="eastAsia" w:eastAsiaTheme="minorEastAsia"/>
          <w:color w:val="auto"/>
          <w:sz w:val="32"/>
          <w:szCs w:val="32"/>
          <w:u w:val="single"/>
        </w:rPr>
        <w:t xml:space="preserve">24年8月                  </w:t>
      </w:r>
    </w:p>
    <w:p w14:paraId="685B4A3A">
      <w:pPr>
        <w:adjustRightInd w:val="0"/>
        <w:snapToGrid w:val="0"/>
        <w:spacing w:line="288" w:lineRule="auto"/>
        <w:ind w:firstLine="1040"/>
        <w:rPr>
          <w:rFonts w:asciiTheme="minorEastAsia" w:hAnsiTheme="minorEastAsia" w:eastAsiaTheme="minorEastAsia"/>
          <w:color w:val="auto"/>
          <w:sz w:val="36"/>
          <w:szCs w:val="36"/>
        </w:rPr>
      </w:pPr>
      <w:bookmarkStart w:id="0" w:name="_Hlk57884087"/>
    </w:p>
    <w:p w14:paraId="66B16FA7">
      <w:pPr>
        <w:adjustRightInd w:val="0"/>
        <w:snapToGrid w:val="0"/>
        <w:spacing w:line="288" w:lineRule="auto"/>
        <w:ind w:firstLine="1040"/>
        <w:rPr>
          <w:rFonts w:asciiTheme="minorEastAsia" w:hAnsiTheme="minorEastAsia" w:eastAsiaTheme="minorEastAsia"/>
          <w:color w:val="auto"/>
          <w:sz w:val="36"/>
          <w:szCs w:val="36"/>
        </w:rPr>
      </w:pPr>
    </w:p>
    <w:bookmarkEnd w:id="0"/>
    <w:p w14:paraId="5824F143">
      <w:pPr>
        <w:adjustRightInd w:val="0"/>
        <w:snapToGrid w:val="0"/>
        <w:spacing w:line="288" w:lineRule="auto"/>
        <w:jc w:val="center"/>
        <w:rPr>
          <w:rFonts w:asciiTheme="minorEastAsia" w:hAnsiTheme="minorEastAsia" w:eastAsiaTheme="minorEastAsia"/>
          <w:color w:val="auto"/>
          <w:sz w:val="36"/>
          <w:szCs w:val="36"/>
        </w:rPr>
      </w:pPr>
      <w:r>
        <w:rPr>
          <w:rFonts w:hint="eastAsia" w:asciiTheme="minorEastAsia" w:hAnsiTheme="minorEastAsia" w:eastAsiaTheme="minorEastAsia"/>
          <w:color w:val="auto"/>
          <w:sz w:val="36"/>
          <w:szCs w:val="36"/>
        </w:rPr>
        <w:t>中华人民共和国生态环境部制</w:t>
      </w:r>
    </w:p>
    <w:p w14:paraId="53C3D115">
      <w:pPr>
        <w:adjustRightInd w:val="0"/>
        <w:snapToGrid w:val="0"/>
        <w:spacing w:line="288" w:lineRule="auto"/>
        <w:jc w:val="center"/>
        <w:rPr>
          <w:rFonts w:ascii="楷体_GB2312" w:eastAsia="楷体_GB2312"/>
          <w:color w:val="auto"/>
          <w:sz w:val="36"/>
          <w:szCs w:val="36"/>
        </w:rPr>
      </w:pPr>
    </w:p>
    <w:p w14:paraId="76C8496D">
      <w:pPr>
        <w:widowControl/>
        <w:jc w:val="left"/>
        <w:rPr>
          <w:rFonts w:ascii="楷体_GB2312" w:eastAsia="楷体_GB2312"/>
          <w:color w:val="auto"/>
          <w:sz w:val="36"/>
          <w:szCs w:val="36"/>
        </w:rPr>
      </w:pPr>
      <w:r>
        <w:rPr>
          <w:rFonts w:ascii="楷体_GB2312" w:eastAsia="楷体_GB2312"/>
          <w:color w:val="auto"/>
          <w:sz w:val="36"/>
          <w:szCs w:val="36"/>
        </w:rPr>
        <w:br w:type="page"/>
      </w:r>
    </w:p>
    <w:p w14:paraId="5CF08F32">
      <w:pPr>
        <w:adjustRightInd w:val="0"/>
        <w:snapToGrid w:val="0"/>
        <w:spacing w:line="288" w:lineRule="auto"/>
        <w:jc w:val="center"/>
        <w:rPr>
          <w:rFonts w:ascii="楷体_GB2312" w:eastAsia="楷体_GB2312"/>
          <w:color w:val="auto"/>
          <w:sz w:val="36"/>
          <w:szCs w:val="36"/>
        </w:rPr>
      </w:pPr>
    </w:p>
    <w:p w14:paraId="02EC6656">
      <w:pPr>
        <w:adjustRightInd w:val="0"/>
        <w:snapToGrid w:val="0"/>
        <w:spacing w:line="288" w:lineRule="auto"/>
        <w:jc w:val="center"/>
        <w:rPr>
          <w:rFonts w:ascii="楷体_GB2312" w:eastAsia="楷体_GB2312"/>
          <w:color w:val="auto"/>
          <w:sz w:val="36"/>
          <w:szCs w:val="36"/>
        </w:rPr>
      </w:pPr>
    </w:p>
    <w:p w14:paraId="678C18F9">
      <w:pPr>
        <w:ind w:firstLine="3514" w:firstLineChars="1250"/>
        <w:rPr>
          <w:b/>
          <w:color w:val="auto"/>
          <w:sz w:val="28"/>
          <w:szCs w:val="28"/>
        </w:rPr>
      </w:pPr>
      <w:r>
        <w:rPr>
          <w:rFonts w:hint="eastAsia"/>
          <w:b/>
          <w:color w:val="auto"/>
          <w:sz w:val="28"/>
          <w:szCs w:val="28"/>
        </w:rPr>
        <w:t>修改清单</w:t>
      </w:r>
    </w:p>
    <w:tbl>
      <w:tblPr>
        <w:tblStyle w:val="24"/>
        <w:tblW w:w="87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6648"/>
        <w:gridCol w:w="1579"/>
      </w:tblGrid>
      <w:tr w14:paraId="11D3D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4" w:type="dxa"/>
            <w:tcBorders>
              <w:top w:val="single" w:color="auto" w:sz="4" w:space="0"/>
              <w:left w:val="single" w:color="auto" w:sz="4" w:space="0"/>
              <w:bottom w:val="single" w:color="auto" w:sz="4" w:space="0"/>
              <w:right w:val="single" w:color="auto" w:sz="4" w:space="0"/>
            </w:tcBorders>
            <w:vAlign w:val="center"/>
          </w:tcPr>
          <w:p w14:paraId="6C572F1F">
            <w:pPr>
              <w:adjustRightInd w:val="0"/>
              <w:snapToGrid w:val="0"/>
              <w:rPr>
                <w:rFonts w:eastAsiaTheme="minorEastAsia"/>
                <w:color w:val="auto"/>
                <w:sz w:val="24"/>
                <w:szCs w:val="24"/>
              </w:rPr>
            </w:pPr>
            <w:r>
              <w:rPr>
                <w:rFonts w:hAnsiTheme="minorEastAsia" w:eastAsiaTheme="minorEastAsia"/>
                <w:color w:val="auto"/>
                <w:sz w:val="24"/>
                <w:szCs w:val="24"/>
              </w:rPr>
              <w:t>序号</w:t>
            </w:r>
          </w:p>
        </w:tc>
        <w:tc>
          <w:tcPr>
            <w:tcW w:w="6648" w:type="dxa"/>
            <w:tcBorders>
              <w:top w:val="single" w:color="auto" w:sz="4" w:space="0"/>
              <w:left w:val="single" w:color="auto" w:sz="4" w:space="0"/>
              <w:bottom w:val="single" w:color="auto" w:sz="4" w:space="0"/>
              <w:right w:val="single" w:color="auto" w:sz="4" w:space="0"/>
            </w:tcBorders>
            <w:vAlign w:val="center"/>
          </w:tcPr>
          <w:p w14:paraId="64EFF589">
            <w:pPr>
              <w:adjustRightInd w:val="0"/>
              <w:snapToGrid w:val="0"/>
              <w:jc w:val="center"/>
              <w:rPr>
                <w:rFonts w:eastAsiaTheme="minorEastAsia"/>
                <w:color w:val="auto"/>
                <w:sz w:val="24"/>
                <w:szCs w:val="24"/>
              </w:rPr>
            </w:pPr>
            <w:r>
              <w:rPr>
                <w:rFonts w:hAnsiTheme="minorEastAsia" w:eastAsiaTheme="minorEastAsia"/>
                <w:color w:val="auto"/>
                <w:sz w:val="24"/>
                <w:szCs w:val="24"/>
              </w:rPr>
              <w:t>专家意见</w:t>
            </w:r>
          </w:p>
        </w:tc>
        <w:tc>
          <w:tcPr>
            <w:tcW w:w="1579" w:type="dxa"/>
            <w:tcBorders>
              <w:top w:val="single" w:color="auto" w:sz="4" w:space="0"/>
              <w:left w:val="single" w:color="auto" w:sz="4" w:space="0"/>
              <w:bottom w:val="single" w:color="auto" w:sz="4" w:space="0"/>
              <w:right w:val="single" w:color="auto" w:sz="4" w:space="0"/>
            </w:tcBorders>
            <w:vAlign w:val="center"/>
          </w:tcPr>
          <w:p w14:paraId="0003BE0B">
            <w:pPr>
              <w:adjustRightInd w:val="0"/>
              <w:snapToGrid w:val="0"/>
              <w:jc w:val="center"/>
              <w:rPr>
                <w:rFonts w:eastAsiaTheme="minorEastAsia"/>
                <w:color w:val="auto"/>
                <w:sz w:val="24"/>
                <w:szCs w:val="24"/>
              </w:rPr>
            </w:pPr>
            <w:r>
              <w:rPr>
                <w:rFonts w:hAnsiTheme="minorEastAsia" w:eastAsiaTheme="minorEastAsia"/>
                <w:color w:val="auto"/>
                <w:sz w:val="24"/>
                <w:szCs w:val="24"/>
              </w:rPr>
              <w:t>页码</w:t>
            </w:r>
          </w:p>
        </w:tc>
      </w:tr>
      <w:tr w14:paraId="0F3D0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4" w:type="dxa"/>
            <w:tcBorders>
              <w:top w:val="single" w:color="auto" w:sz="4" w:space="0"/>
              <w:left w:val="single" w:color="auto" w:sz="4" w:space="0"/>
              <w:bottom w:val="single" w:color="auto" w:sz="4" w:space="0"/>
              <w:right w:val="single" w:color="auto" w:sz="4" w:space="0"/>
            </w:tcBorders>
            <w:vAlign w:val="center"/>
          </w:tcPr>
          <w:p w14:paraId="09499F27">
            <w:pPr>
              <w:adjustRightInd w:val="0"/>
              <w:snapToGrid w:val="0"/>
              <w:jc w:val="center"/>
              <w:rPr>
                <w:rFonts w:eastAsiaTheme="minorEastAsia"/>
                <w:color w:val="auto"/>
              </w:rPr>
            </w:pPr>
            <w:r>
              <w:rPr>
                <w:rFonts w:eastAsiaTheme="minorEastAsia"/>
                <w:color w:val="auto"/>
              </w:rPr>
              <w:t>1</w:t>
            </w:r>
          </w:p>
        </w:tc>
        <w:tc>
          <w:tcPr>
            <w:tcW w:w="6648" w:type="dxa"/>
            <w:tcBorders>
              <w:top w:val="single" w:color="auto" w:sz="4" w:space="0"/>
              <w:left w:val="single" w:color="auto" w:sz="4" w:space="0"/>
              <w:bottom w:val="single" w:color="auto" w:sz="4" w:space="0"/>
              <w:right w:val="single" w:color="auto" w:sz="4" w:space="0"/>
            </w:tcBorders>
            <w:vAlign w:val="center"/>
          </w:tcPr>
          <w:p w14:paraId="3877117B">
            <w:pPr>
              <w:adjustRightInd w:val="0"/>
              <w:snapToGrid w:val="0"/>
              <w:jc w:val="left"/>
              <w:rPr>
                <w:rFonts w:hAnsiTheme="minorEastAsia" w:eastAsiaTheme="minorEastAsia"/>
                <w:color w:val="auto"/>
                <w:sz w:val="24"/>
                <w:szCs w:val="24"/>
              </w:rPr>
            </w:pPr>
            <w:r>
              <w:rPr>
                <w:rFonts w:hint="eastAsia" w:hAnsiTheme="minorEastAsia" w:eastAsiaTheme="minorEastAsia"/>
                <w:color w:val="auto"/>
                <w:sz w:val="24"/>
                <w:szCs w:val="24"/>
              </w:rPr>
              <w:t>说明项目是否位于江源经济开发区内，如在开发区内，则补充规划、规划环评及符合性分析内容。</w:t>
            </w:r>
          </w:p>
        </w:tc>
        <w:tc>
          <w:tcPr>
            <w:tcW w:w="1579" w:type="dxa"/>
            <w:tcBorders>
              <w:top w:val="single" w:color="auto" w:sz="4" w:space="0"/>
              <w:left w:val="single" w:color="auto" w:sz="4" w:space="0"/>
              <w:bottom w:val="single" w:color="auto" w:sz="4" w:space="0"/>
              <w:right w:val="single" w:color="auto" w:sz="4" w:space="0"/>
            </w:tcBorders>
            <w:vAlign w:val="center"/>
          </w:tcPr>
          <w:p w14:paraId="6A241C4C">
            <w:pPr>
              <w:adjustRightInd w:val="0"/>
              <w:snapToGrid w:val="0"/>
              <w:jc w:val="center"/>
              <w:rPr>
                <w:rFonts w:eastAsiaTheme="minorEastAsia"/>
                <w:color w:val="auto"/>
              </w:rPr>
            </w:pPr>
            <w:r>
              <w:rPr>
                <w:rFonts w:eastAsiaTheme="minorEastAsia"/>
                <w:color w:val="auto"/>
              </w:rPr>
              <w:t>P</w:t>
            </w:r>
            <w:r>
              <w:rPr>
                <w:rFonts w:hint="eastAsia" w:eastAsiaTheme="minorEastAsia"/>
                <w:color w:val="auto"/>
              </w:rPr>
              <w:t>1-2</w:t>
            </w:r>
          </w:p>
        </w:tc>
      </w:tr>
      <w:tr w14:paraId="0B11E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4" w:type="dxa"/>
            <w:tcBorders>
              <w:top w:val="single" w:color="auto" w:sz="4" w:space="0"/>
              <w:left w:val="single" w:color="auto" w:sz="4" w:space="0"/>
              <w:bottom w:val="single" w:color="auto" w:sz="4" w:space="0"/>
              <w:right w:val="single" w:color="auto" w:sz="4" w:space="0"/>
            </w:tcBorders>
            <w:vAlign w:val="center"/>
          </w:tcPr>
          <w:p w14:paraId="0FD455A9">
            <w:pPr>
              <w:adjustRightInd w:val="0"/>
              <w:snapToGrid w:val="0"/>
              <w:jc w:val="center"/>
              <w:rPr>
                <w:rFonts w:eastAsiaTheme="minorEastAsia"/>
                <w:color w:val="auto"/>
              </w:rPr>
            </w:pPr>
            <w:r>
              <w:rPr>
                <w:rFonts w:eastAsiaTheme="minorEastAsia"/>
                <w:color w:val="auto"/>
              </w:rPr>
              <w:t>2</w:t>
            </w:r>
          </w:p>
        </w:tc>
        <w:tc>
          <w:tcPr>
            <w:tcW w:w="6648" w:type="dxa"/>
            <w:tcBorders>
              <w:top w:val="single" w:color="auto" w:sz="4" w:space="0"/>
              <w:left w:val="single" w:color="auto" w:sz="4" w:space="0"/>
              <w:bottom w:val="single" w:color="auto" w:sz="4" w:space="0"/>
              <w:right w:val="single" w:color="auto" w:sz="4" w:space="0"/>
            </w:tcBorders>
            <w:vAlign w:val="center"/>
          </w:tcPr>
          <w:p w14:paraId="27019A7A">
            <w:pPr>
              <w:adjustRightInd w:val="0"/>
              <w:snapToGrid w:val="0"/>
              <w:jc w:val="left"/>
              <w:rPr>
                <w:rFonts w:hAnsiTheme="minorEastAsia" w:eastAsiaTheme="minorEastAsia"/>
                <w:color w:val="auto"/>
                <w:sz w:val="24"/>
                <w:szCs w:val="24"/>
              </w:rPr>
            </w:pPr>
            <w:r>
              <w:rPr>
                <w:rFonts w:hint="eastAsia" w:hAnsiTheme="minorEastAsia" w:eastAsiaTheme="minorEastAsia"/>
                <w:color w:val="auto"/>
                <w:sz w:val="24"/>
                <w:szCs w:val="24"/>
              </w:rPr>
              <w:t>完善“三线一单”的符合性和土地规划符合性分析内容。</w:t>
            </w:r>
          </w:p>
        </w:tc>
        <w:tc>
          <w:tcPr>
            <w:tcW w:w="1579" w:type="dxa"/>
            <w:tcBorders>
              <w:top w:val="single" w:color="auto" w:sz="4" w:space="0"/>
              <w:left w:val="single" w:color="auto" w:sz="4" w:space="0"/>
              <w:bottom w:val="single" w:color="auto" w:sz="4" w:space="0"/>
              <w:right w:val="single" w:color="auto" w:sz="4" w:space="0"/>
            </w:tcBorders>
            <w:vAlign w:val="center"/>
          </w:tcPr>
          <w:p w14:paraId="51E119B1">
            <w:pPr>
              <w:adjustRightInd w:val="0"/>
              <w:snapToGrid w:val="0"/>
              <w:jc w:val="center"/>
              <w:rPr>
                <w:rFonts w:eastAsiaTheme="minorEastAsia"/>
                <w:color w:val="auto"/>
              </w:rPr>
            </w:pPr>
            <w:r>
              <w:rPr>
                <w:rFonts w:eastAsiaTheme="minorEastAsia"/>
                <w:color w:val="auto"/>
              </w:rPr>
              <w:t>P</w:t>
            </w:r>
            <w:r>
              <w:rPr>
                <w:rFonts w:hint="eastAsia" w:eastAsiaTheme="minorEastAsia"/>
                <w:color w:val="auto"/>
              </w:rPr>
              <w:t>3-9</w:t>
            </w:r>
          </w:p>
        </w:tc>
      </w:tr>
      <w:tr w14:paraId="425AD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4" w:type="dxa"/>
            <w:tcBorders>
              <w:top w:val="single" w:color="auto" w:sz="4" w:space="0"/>
              <w:left w:val="single" w:color="auto" w:sz="4" w:space="0"/>
              <w:bottom w:val="single" w:color="auto" w:sz="4" w:space="0"/>
              <w:right w:val="single" w:color="auto" w:sz="4" w:space="0"/>
            </w:tcBorders>
            <w:vAlign w:val="center"/>
          </w:tcPr>
          <w:p w14:paraId="336AFAF8">
            <w:pPr>
              <w:adjustRightInd w:val="0"/>
              <w:snapToGrid w:val="0"/>
              <w:jc w:val="center"/>
              <w:rPr>
                <w:rFonts w:eastAsiaTheme="minorEastAsia"/>
                <w:color w:val="auto"/>
              </w:rPr>
            </w:pPr>
            <w:r>
              <w:rPr>
                <w:rFonts w:eastAsiaTheme="minorEastAsia"/>
                <w:color w:val="auto"/>
              </w:rPr>
              <w:t>3</w:t>
            </w:r>
          </w:p>
        </w:tc>
        <w:tc>
          <w:tcPr>
            <w:tcW w:w="6648" w:type="dxa"/>
            <w:tcBorders>
              <w:top w:val="single" w:color="auto" w:sz="4" w:space="0"/>
              <w:left w:val="single" w:color="auto" w:sz="4" w:space="0"/>
              <w:bottom w:val="single" w:color="auto" w:sz="4" w:space="0"/>
              <w:right w:val="single" w:color="auto" w:sz="4" w:space="0"/>
            </w:tcBorders>
            <w:vAlign w:val="center"/>
          </w:tcPr>
          <w:p w14:paraId="50079F16">
            <w:pPr>
              <w:adjustRightInd w:val="0"/>
              <w:snapToGrid w:val="0"/>
              <w:jc w:val="left"/>
              <w:rPr>
                <w:rFonts w:hAnsiTheme="minorEastAsia" w:eastAsiaTheme="minorEastAsia"/>
                <w:color w:val="auto"/>
                <w:sz w:val="24"/>
                <w:szCs w:val="24"/>
              </w:rPr>
            </w:pPr>
            <w:r>
              <w:rPr>
                <w:rFonts w:hint="eastAsia" w:hAnsiTheme="minorEastAsia" w:eastAsiaTheme="minorEastAsia"/>
                <w:color w:val="auto"/>
                <w:sz w:val="24"/>
                <w:szCs w:val="24"/>
              </w:rPr>
              <w:t>补充原料规格，详细说明废水回用利用途径和方式，明确是否有排污口；核准废气源强计算采用的排污系数和效率</w:t>
            </w:r>
            <w:r>
              <w:rPr>
                <w:rFonts w:hAnsiTheme="minorEastAsia" w:eastAsiaTheme="minorEastAsia"/>
                <w:color w:val="auto"/>
                <w:sz w:val="24"/>
                <w:szCs w:val="24"/>
              </w:rPr>
              <w:t>并复核污染物排放源强</w:t>
            </w:r>
            <w:r>
              <w:rPr>
                <w:rFonts w:hint="eastAsia" w:hAnsiTheme="minorEastAsia" w:eastAsiaTheme="minorEastAsia"/>
                <w:color w:val="auto"/>
                <w:sz w:val="24"/>
                <w:szCs w:val="24"/>
              </w:rPr>
              <w:t>；强化堆场粉尘的无组织排放控制措施，补充运输过程中扬尘治理措施。</w:t>
            </w:r>
          </w:p>
        </w:tc>
        <w:tc>
          <w:tcPr>
            <w:tcW w:w="1579" w:type="dxa"/>
            <w:tcBorders>
              <w:top w:val="single" w:color="auto" w:sz="4" w:space="0"/>
              <w:left w:val="single" w:color="auto" w:sz="4" w:space="0"/>
              <w:bottom w:val="single" w:color="auto" w:sz="4" w:space="0"/>
              <w:right w:val="single" w:color="auto" w:sz="4" w:space="0"/>
            </w:tcBorders>
            <w:vAlign w:val="center"/>
          </w:tcPr>
          <w:p w14:paraId="49D6FF1E">
            <w:pPr>
              <w:adjustRightInd w:val="0"/>
              <w:snapToGrid w:val="0"/>
              <w:jc w:val="center"/>
              <w:rPr>
                <w:rFonts w:eastAsiaTheme="minorEastAsia"/>
                <w:color w:val="auto"/>
              </w:rPr>
            </w:pPr>
            <w:r>
              <w:rPr>
                <w:rFonts w:eastAsiaTheme="minorEastAsia"/>
                <w:color w:val="auto"/>
              </w:rPr>
              <w:t>P</w:t>
            </w:r>
            <w:r>
              <w:rPr>
                <w:rFonts w:hint="eastAsia" w:eastAsiaTheme="minorEastAsia"/>
                <w:color w:val="auto"/>
              </w:rPr>
              <w:t>12-13、P22-25</w:t>
            </w:r>
          </w:p>
        </w:tc>
      </w:tr>
      <w:tr w14:paraId="7F5BC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4" w:type="dxa"/>
            <w:tcBorders>
              <w:top w:val="single" w:color="auto" w:sz="4" w:space="0"/>
              <w:left w:val="single" w:color="auto" w:sz="4" w:space="0"/>
              <w:bottom w:val="single" w:color="auto" w:sz="4" w:space="0"/>
              <w:right w:val="single" w:color="auto" w:sz="4" w:space="0"/>
            </w:tcBorders>
            <w:vAlign w:val="center"/>
          </w:tcPr>
          <w:p w14:paraId="11DD8466">
            <w:pPr>
              <w:adjustRightInd w:val="0"/>
              <w:snapToGrid w:val="0"/>
              <w:jc w:val="center"/>
              <w:rPr>
                <w:rFonts w:eastAsiaTheme="minorEastAsia"/>
                <w:color w:val="auto"/>
              </w:rPr>
            </w:pPr>
            <w:r>
              <w:rPr>
                <w:rFonts w:eastAsiaTheme="minorEastAsia"/>
                <w:color w:val="auto"/>
              </w:rPr>
              <w:t>4</w:t>
            </w:r>
          </w:p>
        </w:tc>
        <w:tc>
          <w:tcPr>
            <w:tcW w:w="6648" w:type="dxa"/>
            <w:tcBorders>
              <w:top w:val="single" w:color="auto" w:sz="4" w:space="0"/>
              <w:left w:val="single" w:color="auto" w:sz="4" w:space="0"/>
              <w:bottom w:val="single" w:color="auto" w:sz="4" w:space="0"/>
              <w:right w:val="single" w:color="auto" w:sz="4" w:space="0"/>
            </w:tcBorders>
            <w:vAlign w:val="center"/>
          </w:tcPr>
          <w:p w14:paraId="7EE7C8D5">
            <w:pPr>
              <w:adjustRightInd w:val="0"/>
              <w:snapToGrid w:val="0"/>
              <w:jc w:val="left"/>
              <w:rPr>
                <w:rFonts w:hAnsiTheme="minorEastAsia" w:eastAsiaTheme="minorEastAsia"/>
                <w:color w:val="auto"/>
                <w:sz w:val="24"/>
                <w:szCs w:val="24"/>
              </w:rPr>
            </w:pPr>
            <w:r>
              <w:rPr>
                <w:rFonts w:hint="eastAsia" w:hAnsiTheme="minorEastAsia" w:eastAsiaTheme="minorEastAsia"/>
                <w:color w:val="auto"/>
                <w:sz w:val="24"/>
                <w:szCs w:val="24"/>
              </w:rPr>
              <w:t>核准设备噪声源强和治理措施，补充各噪声设备距厂界距离，明确运输方式及运输过程中噪声控制措施。</w:t>
            </w:r>
          </w:p>
        </w:tc>
        <w:tc>
          <w:tcPr>
            <w:tcW w:w="1579" w:type="dxa"/>
            <w:tcBorders>
              <w:top w:val="single" w:color="auto" w:sz="4" w:space="0"/>
              <w:left w:val="single" w:color="auto" w:sz="4" w:space="0"/>
              <w:bottom w:val="single" w:color="auto" w:sz="4" w:space="0"/>
              <w:right w:val="single" w:color="auto" w:sz="4" w:space="0"/>
            </w:tcBorders>
            <w:vAlign w:val="center"/>
          </w:tcPr>
          <w:p w14:paraId="3836CB02">
            <w:pPr>
              <w:adjustRightInd w:val="0"/>
              <w:snapToGrid w:val="0"/>
              <w:jc w:val="center"/>
              <w:rPr>
                <w:rFonts w:eastAsiaTheme="minorEastAsia"/>
                <w:color w:val="auto"/>
              </w:rPr>
            </w:pPr>
            <w:r>
              <w:rPr>
                <w:rFonts w:hint="eastAsia" w:eastAsiaTheme="minorEastAsia"/>
                <w:color w:val="auto"/>
              </w:rPr>
              <w:t>P27、P29</w:t>
            </w:r>
          </w:p>
        </w:tc>
      </w:tr>
      <w:tr w14:paraId="0B9F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4" w:type="dxa"/>
            <w:tcBorders>
              <w:top w:val="single" w:color="auto" w:sz="4" w:space="0"/>
              <w:left w:val="single" w:color="auto" w:sz="4" w:space="0"/>
              <w:bottom w:val="single" w:color="auto" w:sz="4" w:space="0"/>
              <w:right w:val="single" w:color="auto" w:sz="4" w:space="0"/>
            </w:tcBorders>
            <w:vAlign w:val="center"/>
          </w:tcPr>
          <w:p w14:paraId="22A81FF9">
            <w:pPr>
              <w:adjustRightInd w:val="0"/>
              <w:snapToGrid w:val="0"/>
              <w:jc w:val="center"/>
              <w:rPr>
                <w:rFonts w:eastAsiaTheme="minorEastAsia"/>
                <w:color w:val="auto"/>
              </w:rPr>
            </w:pPr>
            <w:r>
              <w:rPr>
                <w:rFonts w:eastAsiaTheme="minorEastAsia"/>
                <w:color w:val="auto"/>
              </w:rPr>
              <w:t>5</w:t>
            </w:r>
          </w:p>
        </w:tc>
        <w:tc>
          <w:tcPr>
            <w:tcW w:w="6648" w:type="dxa"/>
            <w:tcBorders>
              <w:top w:val="single" w:color="auto" w:sz="4" w:space="0"/>
              <w:left w:val="single" w:color="auto" w:sz="4" w:space="0"/>
              <w:bottom w:val="single" w:color="auto" w:sz="4" w:space="0"/>
              <w:right w:val="single" w:color="auto" w:sz="4" w:space="0"/>
            </w:tcBorders>
            <w:vAlign w:val="center"/>
          </w:tcPr>
          <w:p w14:paraId="21714A73">
            <w:pPr>
              <w:adjustRightInd w:val="0"/>
              <w:snapToGrid w:val="0"/>
              <w:jc w:val="left"/>
              <w:rPr>
                <w:rFonts w:hAnsiTheme="minorEastAsia" w:eastAsiaTheme="minorEastAsia"/>
                <w:color w:val="auto"/>
                <w:sz w:val="24"/>
                <w:szCs w:val="24"/>
              </w:rPr>
            </w:pPr>
            <w:r>
              <w:rPr>
                <w:rFonts w:hint="eastAsia" w:hAnsiTheme="minorEastAsia" w:eastAsiaTheme="minorEastAsia"/>
                <w:color w:val="auto"/>
                <w:sz w:val="24"/>
                <w:szCs w:val="24"/>
              </w:rPr>
              <w:t>明确压滤后的泥饼固废属性、暂存方式和最终处置措施。</w:t>
            </w:r>
          </w:p>
        </w:tc>
        <w:tc>
          <w:tcPr>
            <w:tcW w:w="1579" w:type="dxa"/>
            <w:tcBorders>
              <w:top w:val="single" w:color="auto" w:sz="4" w:space="0"/>
              <w:left w:val="single" w:color="auto" w:sz="4" w:space="0"/>
              <w:bottom w:val="single" w:color="auto" w:sz="4" w:space="0"/>
              <w:right w:val="single" w:color="auto" w:sz="4" w:space="0"/>
            </w:tcBorders>
            <w:vAlign w:val="center"/>
          </w:tcPr>
          <w:p w14:paraId="26B1D890">
            <w:pPr>
              <w:adjustRightInd w:val="0"/>
              <w:snapToGrid w:val="0"/>
              <w:jc w:val="center"/>
              <w:rPr>
                <w:rFonts w:eastAsiaTheme="minorEastAsia"/>
                <w:color w:val="auto"/>
              </w:rPr>
            </w:pPr>
            <w:r>
              <w:rPr>
                <w:rFonts w:hint="eastAsia" w:hAnsiTheme="minorEastAsia" w:eastAsiaTheme="minorEastAsia"/>
                <w:color w:val="auto"/>
              </w:rPr>
              <w:t>P29-30</w:t>
            </w:r>
          </w:p>
        </w:tc>
      </w:tr>
      <w:tr w14:paraId="59A31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4" w:type="dxa"/>
            <w:tcBorders>
              <w:top w:val="single" w:color="auto" w:sz="4" w:space="0"/>
              <w:left w:val="single" w:color="auto" w:sz="4" w:space="0"/>
              <w:bottom w:val="single" w:color="auto" w:sz="4" w:space="0"/>
              <w:right w:val="single" w:color="auto" w:sz="4" w:space="0"/>
            </w:tcBorders>
            <w:vAlign w:val="center"/>
          </w:tcPr>
          <w:p w14:paraId="18BF91CC">
            <w:pPr>
              <w:adjustRightInd w:val="0"/>
              <w:snapToGrid w:val="0"/>
              <w:jc w:val="center"/>
              <w:rPr>
                <w:rFonts w:eastAsiaTheme="minorEastAsia"/>
                <w:color w:val="auto"/>
              </w:rPr>
            </w:pPr>
            <w:r>
              <w:rPr>
                <w:rFonts w:eastAsiaTheme="minorEastAsia"/>
                <w:color w:val="auto"/>
              </w:rPr>
              <w:t>6</w:t>
            </w:r>
          </w:p>
        </w:tc>
        <w:tc>
          <w:tcPr>
            <w:tcW w:w="6648" w:type="dxa"/>
            <w:tcBorders>
              <w:top w:val="single" w:color="auto" w:sz="4" w:space="0"/>
              <w:left w:val="single" w:color="auto" w:sz="4" w:space="0"/>
              <w:bottom w:val="single" w:color="auto" w:sz="4" w:space="0"/>
              <w:right w:val="single" w:color="auto" w:sz="4" w:space="0"/>
            </w:tcBorders>
            <w:vAlign w:val="center"/>
          </w:tcPr>
          <w:p w14:paraId="6CE01F20">
            <w:pPr>
              <w:adjustRightInd w:val="0"/>
              <w:snapToGrid w:val="0"/>
              <w:jc w:val="left"/>
              <w:rPr>
                <w:rFonts w:hAnsiTheme="minorEastAsia" w:eastAsiaTheme="minorEastAsia"/>
                <w:color w:val="auto"/>
                <w:sz w:val="24"/>
                <w:szCs w:val="24"/>
              </w:rPr>
            </w:pPr>
            <w:r>
              <w:rPr>
                <w:rFonts w:hint="eastAsia" w:hAnsiTheme="minorEastAsia" w:eastAsiaTheme="minorEastAsia"/>
                <w:color w:val="auto"/>
                <w:sz w:val="24"/>
                <w:szCs w:val="24"/>
              </w:rPr>
              <w:t>核准环境管理计划内容。</w:t>
            </w:r>
          </w:p>
        </w:tc>
        <w:tc>
          <w:tcPr>
            <w:tcW w:w="1579" w:type="dxa"/>
            <w:tcBorders>
              <w:top w:val="single" w:color="auto" w:sz="4" w:space="0"/>
              <w:left w:val="single" w:color="auto" w:sz="4" w:space="0"/>
              <w:bottom w:val="single" w:color="auto" w:sz="4" w:space="0"/>
              <w:right w:val="single" w:color="auto" w:sz="4" w:space="0"/>
            </w:tcBorders>
            <w:vAlign w:val="center"/>
          </w:tcPr>
          <w:p w14:paraId="73E333F9">
            <w:pPr>
              <w:adjustRightInd w:val="0"/>
              <w:snapToGrid w:val="0"/>
              <w:jc w:val="center"/>
              <w:rPr>
                <w:rFonts w:eastAsiaTheme="minorEastAsia"/>
                <w:color w:val="auto"/>
              </w:rPr>
            </w:pPr>
            <w:r>
              <w:rPr>
                <w:rFonts w:eastAsiaTheme="minorEastAsia"/>
                <w:color w:val="auto"/>
              </w:rPr>
              <w:t>P</w:t>
            </w:r>
            <w:r>
              <w:rPr>
                <w:rFonts w:hint="eastAsia" w:eastAsiaTheme="minorEastAsia"/>
                <w:color w:val="auto"/>
              </w:rPr>
              <w:t>32-33</w:t>
            </w:r>
          </w:p>
        </w:tc>
      </w:tr>
    </w:tbl>
    <w:p w14:paraId="6CC18D9D">
      <w:pPr>
        <w:adjustRightInd w:val="0"/>
        <w:snapToGrid w:val="0"/>
        <w:spacing w:line="288" w:lineRule="auto"/>
        <w:jc w:val="center"/>
        <w:rPr>
          <w:rFonts w:ascii="楷体_GB2312" w:eastAsia="楷体_GB2312"/>
          <w:color w:val="auto"/>
          <w:sz w:val="36"/>
          <w:szCs w:val="36"/>
        </w:rPr>
      </w:pPr>
    </w:p>
    <w:p w14:paraId="30A8A47C">
      <w:pPr>
        <w:adjustRightInd w:val="0"/>
        <w:snapToGrid w:val="0"/>
        <w:spacing w:line="288" w:lineRule="auto"/>
        <w:ind w:firstLine="1040"/>
        <w:rPr>
          <w:rFonts w:ascii="仿宋_GB2312" w:eastAsia="仿宋_GB2312"/>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03D94D93">
      <w:pPr>
        <w:pStyle w:val="21"/>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一、建设项目基本情况</w:t>
      </w:r>
    </w:p>
    <w:tbl>
      <w:tblPr>
        <w:tblStyle w:val="24"/>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14"/>
        <w:gridCol w:w="2305"/>
        <w:gridCol w:w="2212"/>
        <w:gridCol w:w="2639"/>
      </w:tblGrid>
      <w:tr w14:paraId="33FF58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tcMar>
              <w:top w:w="16" w:type="dxa"/>
              <w:left w:w="16" w:type="dxa"/>
              <w:right w:w="16" w:type="dxa"/>
            </w:tcMar>
            <w:vAlign w:val="center"/>
          </w:tcPr>
          <w:p w14:paraId="0E6993D9">
            <w:pPr>
              <w:adjustRightInd w:val="0"/>
              <w:snapToGrid w:val="0"/>
              <w:jc w:val="center"/>
              <w:rPr>
                <w:rFonts w:ascii="宋体" w:hAnsi="宋体" w:cs="宋体"/>
                <w:color w:val="auto"/>
              </w:rPr>
            </w:pPr>
            <w:r>
              <w:rPr>
                <w:rFonts w:hint="eastAsia" w:ascii="宋体" w:hAnsi="宋体" w:cs="宋体"/>
                <w:color w:val="auto"/>
              </w:rPr>
              <w:t>建设项目名称</w:t>
            </w:r>
          </w:p>
        </w:tc>
        <w:tc>
          <w:tcPr>
            <w:tcW w:w="7156" w:type="dxa"/>
            <w:gridSpan w:val="3"/>
            <w:vAlign w:val="center"/>
          </w:tcPr>
          <w:p w14:paraId="49997CBB">
            <w:pPr>
              <w:adjustRightInd w:val="0"/>
              <w:snapToGrid w:val="0"/>
              <w:jc w:val="center"/>
              <w:rPr>
                <w:color w:val="auto"/>
              </w:rPr>
            </w:pPr>
            <w:r>
              <w:rPr>
                <w:rFonts w:hint="eastAsia"/>
                <w:color w:val="auto"/>
              </w:rPr>
              <w:t>白山市江源区富辉建材有限公司机制砂建设项目</w:t>
            </w:r>
          </w:p>
        </w:tc>
      </w:tr>
      <w:tr w14:paraId="0798FF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tcMar>
              <w:top w:w="16" w:type="dxa"/>
              <w:left w:w="16" w:type="dxa"/>
              <w:right w:w="16" w:type="dxa"/>
            </w:tcMar>
            <w:vAlign w:val="center"/>
          </w:tcPr>
          <w:p w14:paraId="5F157DDE">
            <w:pPr>
              <w:adjustRightInd w:val="0"/>
              <w:snapToGrid w:val="0"/>
              <w:jc w:val="center"/>
              <w:rPr>
                <w:rFonts w:ascii="宋体" w:hAnsi="宋体" w:cs="宋体"/>
                <w:color w:val="auto"/>
              </w:rPr>
            </w:pPr>
            <w:r>
              <w:rPr>
                <w:rFonts w:hint="eastAsia" w:ascii="宋体" w:hAnsi="宋体" w:cs="宋体"/>
                <w:color w:val="auto"/>
              </w:rPr>
              <w:t>项目代码</w:t>
            </w:r>
          </w:p>
        </w:tc>
        <w:tc>
          <w:tcPr>
            <w:tcW w:w="7156" w:type="dxa"/>
            <w:gridSpan w:val="3"/>
            <w:vAlign w:val="center"/>
          </w:tcPr>
          <w:p w14:paraId="2DC8B0AA">
            <w:pPr>
              <w:adjustRightInd w:val="0"/>
              <w:snapToGrid w:val="0"/>
              <w:jc w:val="center"/>
              <w:rPr>
                <w:rFonts w:ascii="宋体" w:hAnsi="宋体" w:cs="宋体"/>
                <w:color w:val="auto"/>
              </w:rPr>
            </w:pPr>
            <w:r>
              <w:rPr>
                <w:rFonts w:ascii="宋体" w:hAnsi="宋体" w:cs="宋体"/>
                <w:color w:val="auto"/>
              </w:rPr>
              <w:t>无</w:t>
            </w:r>
          </w:p>
        </w:tc>
      </w:tr>
      <w:tr w14:paraId="322B29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tcMar>
              <w:top w:w="16" w:type="dxa"/>
              <w:left w:w="16" w:type="dxa"/>
              <w:right w:w="16" w:type="dxa"/>
            </w:tcMar>
            <w:vAlign w:val="center"/>
          </w:tcPr>
          <w:p w14:paraId="787B25BF">
            <w:pPr>
              <w:adjustRightInd w:val="0"/>
              <w:snapToGrid w:val="0"/>
              <w:jc w:val="center"/>
              <w:rPr>
                <w:rFonts w:ascii="宋体" w:hAnsi="宋体" w:cs="宋体"/>
                <w:color w:val="auto"/>
              </w:rPr>
            </w:pPr>
            <w:r>
              <w:rPr>
                <w:rFonts w:hint="eastAsia" w:ascii="宋体" w:hAnsi="宋体" w:cs="宋体"/>
                <w:color w:val="auto"/>
              </w:rPr>
              <w:t>建设单位联系人</w:t>
            </w:r>
          </w:p>
        </w:tc>
        <w:tc>
          <w:tcPr>
            <w:tcW w:w="2305" w:type="dxa"/>
            <w:vAlign w:val="center"/>
          </w:tcPr>
          <w:p w14:paraId="332519A0">
            <w:pPr>
              <w:adjustRightInd w:val="0"/>
              <w:snapToGrid w:val="0"/>
              <w:jc w:val="center"/>
              <w:rPr>
                <w:rFonts w:ascii="宋体" w:hAnsi="宋体" w:cs="宋体"/>
                <w:color w:val="auto"/>
              </w:rPr>
            </w:pPr>
            <w:r>
              <w:rPr>
                <w:rFonts w:hint="eastAsia"/>
                <w:color w:val="auto"/>
              </w:rPr>
              <w:t>张立新</w:t>
            </w:r>
          </w:p>
        </w:tc>
        <w:tc>
          <w:tcPr>
            <w:tcW w:w="2212" w:type="dxa"/>
            <w:vAlign w:val="center"/>
          </w:tcPr>
          <w:p w14:paraId="5B77C16F">
            <w:pPr>
              <w:adjustRightInd w:val="0"/>
              <w:snapToGrid w:val="0"/>
              <w:jc w:val="center"/>
              <w:rPr>
                <w:color w:val="auto"/>
              </w:rPr>
            </w:pPr>
            <w:r>
              <w:rPr>
                <w:rFonts w:hint="eastAsia"/>
                <w:color w:val="auto"/>
              </w:rPr>
              <w:t>联系方式</w:t>
            </w:r>
          </w:p>
        </w:tc>
        <w:tc>
          <w:tcPr>
            <w:tcW w:w="2639" w:type="dxa"/>
            <w:vAlign w:val="center"/>
          </w:tcPr>
          <w:p w14:paraId="5610B7EA">
            <w:pPr>
              <w:jc w:val="center"/>
              <w:rPr>
                <w:color w:val="auto"/>
              </w:rPr>
            </w:pPr>
            <w:r>
              <w:rPr>
                <w:rFonts w:hint="eastAsia"/>
                <w:color w:val="auto"/>
              </w:rPr>
              <w:t>13843912121</w:t>
            </w:r>
          </w:p>
        </w:tc>
      </w:tr>
      <w:tr w14:paraId="144AF7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tcMar>
              <w:top w:w="16" w:type="dxa"/>
              <w:left w:w="16" w:type="dxa"/>
              <w:right w:w="16" w:type="dxa"/>
            </w:tcMar>
            <w:vAlign w:val="center"/>
          </w:tcPr>
          <w:p w14:paraId="529B7425">
            <w:pPr>
              <w:adjustRightInd w:val="0"/>
              <w:snapToGrid w:val="0"/>
              <w:jc w:val="center"/>
              <w:rPr>
                <w:rFonts w:ascii="宋体" w:hAnsi="宋体" w:cs="宋体"/>
                <w:color w:val="auto"/>
              </w:rPr>
            </w:pPr>
            <w:r>
              <w:rPr>
                <w:rFonts w:hint="eastAsia" w:ascii="宋体" w:hAnsi="宋体" w:cs="宋体"/>
                <w:color w:val="auto"/>
              </w:rPr>
              <w:t>建设地点</w:t>
            </w:r>
          </w:p>
        </w:tc>
        <w:tc>
          <w:tcPr>
            <w:tcW w:w="7156" w:type="dxa"/>
            <w:gridSpan w:val="3"/>
            <w:vAlign w:val="center"/>
          </w:tcPr>
          <w:p w14:paraId="2C0EF7A4">
            <w:pPr>
              <w:jc w:val="center"/>
              <w:rPr>
                <w:rFonts w:ascii="宋体" w:hAnsi="宋体" w:cs="宋体"/>
                <w:color w:val="auto"/>
              </w:rPr>
            </w:pPr>
            <w:r>
              <w:rPr>
                <w:rFonts w:hint="eastAsia"/>
                <w:color w:val="auto"/>
              </w:rPr>
              <w:t>白山市江源区石人镇林子头村</w:t>
            </w:r>
          </w:p>
        </w:tc>
      </w:tr>
      <w:tr w14:paraId="5E9D31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tcMar>
              <w:top w:w="16" w:type="dxa"/>
              <w:left w:w="16" w:type="dxa"/>
              <w:right w:w="16" w:type="dxa"/>
            </w:tcMar>
            <w:vAlign w:val="center"/>
          </w:tcPr>
          <w:p w14:paraId="77966ED4">
            <w:pPr>
              <w:adjustRightInd w:val="0"/>
              <w:snapToGrid w:val="0"/>
              <w:jc w:val="center"/>
              <w:rPr>
                <w:rFonts w:ascii="宋体" w:hAnsi="宋体" w:cs="宋体"/>
                <w:color w:val="auto"/>
              </w:rPr>
            </w:pPr>
            <w:r>
              <w:rPr>
                <w:rFonts w:hint="eastAsia" w:ascii="宋体" w:hAnsi="宋体" w:cs="宋体"/>
                <w:color w:val="auto"/>
              </w:rPr>
              <w:t>地理坐标</w:t>
            </w:r>
          </w:p>
        </w:tc>
        <w:tc>
          <w:tcPr>
            <w:tcW w:w="7156" w:type="dxa"/>
            <w:gridSpan w:val="3"/>
            <w:vAlign w:val="center"/>
          </w:tcPr>
          <w:p w14:paraId="4422EB8D">
            <w:pPr>
              <w:jc w:val="center"/>
              <w:rPr>
                <w:rFonts w:ascii="宋体" w:hAnsi="宋体" w:cs="宋体"/>
                <w:color w:val="auto"/>
              </w:rPr>
            </w:pPr>
            <w:r>
              <w:rPr>
                <w:rFonts w:hint="eastAsia"/>
                <w:color w:val="auto"/>
              </w:rPr>
              <w:t>（</w:t>
            </w:r>
            <w:r>
              <w:rPr>
                <w:color w:val="auto"/>
              </w:rPr>
              <w:t>12</w:t>
            </w:r>
            <w:r>
              <w:rPr>
                <w:rFonts w:hint="eastAsia"/>
                <w:color w:val="auto"/>
              </w:rPr>
              <w:t>6度35分49.854秒，41度57分16.398秒）</w:t>
            </w:r>
          </w:p>
        </w:tc>
      </w:tr>
      <w:tr w14:paraId="64B661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14" w:type="dxa"/>
            <w:tcMar>
              <w:top w:w="16" w:type="dxa"/>
              <w:left w:w="16" w:type="dxa"/>
              <w:right w:w="16" w:type="dxa"/>
            </w:tcMar>
            <w:vAlign w:val="center"/>
          </w:tcPr>
          <w:p w14:paraId="1C142F21">
            <w:pPr>
              <w:adjustRightInd w:val="0"/>
              <w:snapToGrid w:val="0"/>
              <w:jc w:val="center"/>
              <w:rPr>
                <w:rFonts w:ascii="宋体" w:hAnsi="宋体" w:cs="宋体"/>
                <w:color w:val="auto"/>
              </w:rPr>
            </w:pPr>
            <w:r>
              <w:rPr>
                <w:rFonts w:hint="eastAsia" w:ascii="宋体" w:hAnsi="宋体" w:cs="宋体"/>
                <w:color w:val="auto"/>
              </w:rPr>
              <w:t>国民经济</w:t>
            </w:r>
          </w:p>
          <w:p w14:paraId="3DC4D8EA">
            <w:pPr>
              <w:adjustRightInd w:val="0"/>
              <w:snapToGrid w:val="0"/>
              <w:jc w:val="center"/>
              <w:rPr>
                <w:rFonts w:ascii="宋体" w:hAnsi="宋体" w:cs="宋体"/>
                <w:color w:val="auto"/>
              </w:rPr>
            </w:pPr>
            <w:r>
              <w:rPr>
                <w:rFonts w:hint="eastAsia" w:ascii="宋体" w:hAnsi="宋体" w:cs="宋体"/>
                <w:color w:val="auto"/>
              </w:rPr>
              <w:t>行业类别</w:t>
            </w:r>
          </w:p>
        </w:tc>
        <w:tc>
          <w:tcPr>
            <w:tcW w:w="2305" w:type="dxa"/>
            <w:vAlign w:val="center"/>
          </w:tcPr>
          <w:p w14:paraId="47F28C7E">
            <w:pPr>
              <w:adjustRightInd w:val="0"/>
              <w:snapToGrid w:val="0"/>
              <w:jc w:val="center"/>
              <w:rPr>
                <w:rFonts w:hint="default" w:ascii="宋体" w:hAnsi="宋体" w:eastAsia="宋体" w:cs="宋体"/>
                <w:color w:val="auto"/>
                <w:lang w:val="en-US" w:eastAsia="zh-CN"/>
              </w:rPr>
            </w:pPr>
            <w:r>
              <w:rPr>
                <w:color w:val="auto"/>
                <w:highlight w:val="yellow"/>
              </w:rPr>
              <w:t>C30</w:t>
            </w:r>
            <w:r>
              <w:rPr>
                <w:rFonts w:hint="eastAsia"/>
                <w:color w:val="auto"/>
                <w:highlight w:val="yellow"/>
                <w:lang w:val="en-US" w:eastAsia="zh-CN"/>
              </w:rPr>
              <w:t>9</w:t>
            </w:r>
            <w:r>
              <w:rPr>
                <w:color w:val="auto"/>
                <w:highlight w:val="yellow"/>
              </w:rPr>
              <w:t>9其他</w:t>
            </w:r>
            <w:r>
              <w:rPr>
                <w:rFonts w:hint="eastAsia"/>
                <w:color w:val="auto"/>
                <w:highlight w:val="yellow"/>
                <w:lang w:val="en-US" w:eastAsia="zh-CN"/>
              </w:rPr>
              <w:t>非金属矿物制品制造</w:t>
            </w:r>
          </w:p>
        </w:tc>
        <w:tc>
          <w:tcPr>
            <w:tcW w:w="2212" w:type="dxa"/>
            <w:vAlign w:val="center"/>
          </w:tcPr>
          <w:p w14:paraId="3A88221A">
            <w:pPr>
              <w:adjustRightInd w:val="0"/>
              <w:snapToGrid w:val="0"/>
              <w:jc w:val="center"/>
              <w:rPr>
                <w:rFonts w:ascii="宋体" w:hAnsi="宋体" w:cs="宋体"/>
                <w:color w:val="auto"/>
              </w:rPr>
            </w:pPr>
            <w:bookmarkStart w:id="1" w:name="_Hlk49843745"/>
            <w:r>
              <w:rPr>
                <w:rFonts w:hint="eastAsia" w:ascii="宋体" w:hAnsi="宋体" w:cs="宋体"/>
                <w:color w:val="auto"/>
              </w:rPr>
              <w:t>建设项目</w:t>
            </w:r>
          </w:p>
          <w:p w14:paraId="77354BB1">
            <w:pPr>
              <w:adjustRightInd w:val="0"/>
              <w:snapToGrid w:val="0"/>
              <w:jc w:val="center"/>
              <w:rPr>
                <w:rFonts w:ascii="宋体" w:hAnsi="宋体" w:cs="宋体"/>
                <w:color w:val="auto"/>
              </w:rPr>
            </w:pPr>
            <w:r>
              <w:rPr>
                <w:rFonts w:hint="eastAsia" w:ascii="宋体" w:hAnsi="宋体" w:cs="宋体"/>
                <w:color w:val="auto"/>
              </w:rPr>
              <w:t>行业类别</w:t>
            </w:r>
            <w:bookmarkEnd w:id="1"/>
          </w:p>
        </w:tc>
        <w:tc>
          <w:tcPr>
            <w:tcW w:w="2639" w:type="dxa"/>
            <w:vAlign w:val="center"/>
          </w:tcPr>
          <w:p w14:paraId="6C2920EB">
            <w:pPr>
              <w:adjustRightInd w:val="0"/>
              <w:snapToGrid w:val="0"/>
              <w:rPr>
                <w:rFonts w:hint="default" w:ascii="宋体" w:hAnsi="宋体" w:eastAsia="宋体" w:cs="宋体"/>
                <w:color w:val="auto"/>
                <w:lang w:val="en-US" w:eastAsia="zh-CN"/>
              </w:rPr>
            </w:pPr>
            <w:r>
              <w:rPr>
                <w:rFonts w:hint="eastAsia"/>
                <w:color w:val="auto"/>
                <w:highlight w:val="yellow"/>
              </w:rPr>
              <w:t>二十七、非金属矿物制品业</w:t>
            </w:r>
            <w:r>
              <w:rPr>
                <w:rFonts w:hint="eastAsia"/>
                <w:color w:val="auto"/>
                <w:highlight w:val="yellow"/>
                <w:lang w:val="en-US" w:eastAsia="zh-CN"/>
              </w:rPr>
              <w:t>60石墨及其他非金属矿物制品制造309</w:t>
            </w:r>
          </w:p>
        </w:tc>
      </w:tr>
      <w:tr w14:paraId="616806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14" w:type="dxa"/>
            <w:tcMar>
              <w:top w:w="16" w:type="dxa"/>
              <w:left w:w="16" w:type="dxa"/>
              <w:right w:w="16" w:type="dxa"/>
            </w:tcMar>
            <w:vAlign w:val="center"/>
          </w:tcPr>
          <w:p w14:paraId="48202AC9">
            <w:pPr>
              <w:adjustRightInd w:val="0"/>
              <w:snapToGrid w:val="0"/>
              <w:jc w:val="center"/>
              <w:rPr>
                <w:rFonts w:ascii="宋体" w:hAnsi="宋体" w:cs="宋体"/>
                <w:color w:val="auto"/>
              </w:rPr>
            </w:pPr>
            <w:r>
              <w:rPr>
                <w:rFonts w:hint="eastAsia" w:ascii="宋体" w:hAnsi="宋体" w:cs="宋体"/>
                <w:color w:val="auto"/>
              </w:rPr>
              <w:t>建设性质</w:t>
            </w:r>
          </w:p>
        </w:tc>
        <w:tc>
          <w:tcPr>
            <w:tcW w:w="2305" w:type="dxa"/>
            <w:vAlign w:val="center"/>
          </w:tcPr>
          <w:p w14:paraId="557CDEF9">
            <w:pPr>
              <w:jc w:val="left"/>
              <w:rPr>
                <w:rFonts w:ascii="宋体" w:hAnsi="宋体" w:cs="宋体"/>
                <w:color w:val="auto"/>
              </w:rPr>
            </w:pPr>
            <w:r>
              <w:rPr>
                <w:rFonts w:hint="eastAsia" w:ascii="宋体" w:hAnsi="宋体" w:cs="宋体"/>
                <w:color w:val="auto"/>
              </w:rPr>
              <w:t>√新建（迁建）</w:t>
            </w:r>
          </w:p>
          <w:p w14:paraId="3C4BB62C">
            <w:pPr>
              <w:jc w:val="left"/>
              <w:rPr>
                <w:rFonts w:ascii="宋体" w:hAnsi="宋体" w:cs="宋体"/>
                <w:color w:val="auto"/>
              </w:rPr>
            </w:pPr>
            <w:r>
              <w:rPr>
                <w:rFonts w:hint="eastAsia" w:ascii="宋体" w:hAnsi="宋体" w:cs="宋体"/>
                <w:color w:val="auto"/>
              </w:rPr>
              <w:t>□改建</w:t>
            </w:r>
          </w:p>
          <w:p w14:paraId="4D454FE9">
            <w:pPr>
              <w:jc w:val="left"/>
              <w:rPr>
                <w:rFonts w:ascii="宋体" w:hAnsi="宋体" w:cs="宋体"/>
                <w:color w:val="auto"/>
              </w:rPr>
            </w:pPr>
            <w:r>
              <w:rPr>
                <w:rFonts w:hint="eastAsia" w:ascii="宋体" w:hAnsi="宋体" w:cs="宋体"/>
                <w:color w:val="auto"/>
              </w:rPr>
              <w:t>□扩建</w:t>
            </w:r>
          </w:p>
          <w:p w14:paraId="357A103A">
            <w:pPr>
              <w:jc w:val="left"/>
              <w:rPr>
                <w:rFonts w:ascii="宋体" w:hAnsi="宋体" w:cs="宋体"/>
                <w:color w:val="auto"/>
              </w:rPr>
            </w:pPr>
            <w:r>
              <w:rPr>
                <w:rFonts w:hint="eastAsia" w:ascii="宋体" w:hAnsi="宋体" w:cs="宋体"/>
                <w:color w:val="auto"/>
              </w:rPr>
              <w:t>□技术改造</w:t>
            </w:r>
          </w:p>
        </w:tc>
        <w:tc>
          <w:tcPr>
            <w:tcW w:w="2212" w:type="dxa"/>
            <w:vAlign w:val="center"/>
          </w:tcPr>
          <w:p w14:paraId="77DF0E3B">
            <w:pPr>
              <w:adjustRightInd w:val="0"/>
              <w:snapToGrid w:val="0"/>
              <w:jc w:val="center"/>
              <w:rPr>
                <w:rFonts w:ascii="宋体" w:hAnsi="宋体" w:cs="宋体"/>
                <w:color w:val="auto"/>
              </w:rPr>
            </w:pPr>
            <w:r>
              <w:rPr>
                <w:rFonts w:hint="eastAsia" w:ascii="宋体" w:hAnsi="宋体" w:cs="宋体"/>
                <w:color w:val="auto"/>
              </w:rPr>
              <w:t>建设项目</w:t>
            </w:r>
          </w:p>
          <w:p w14:paraId="0BAAFEF4">
            <w:pPr>
              <w:adjustRightInd w:val="0"/>
              <w:snapToGrid w:val="0"/>
              <w:jc w:val="center"/>
              <w:rPr>
                <w:rFonts w:ascii="宋体" w:hAnsi="宋体" w:cs="宋体"/>
                <w:color w:val="auto"/>
              </w:rPr>
            </w:pPr>
            <w:r>
              <w:rPr>
                <w:rFonts w:hint="eastAsia" w:ascii="宋体" w:hAnsi="宋体" w:cs="宋体"/>
                <w:color w:val="auto"/>
              </w:rPr>
              <w:t>申报情形</w:t>
            </w:r>
          </w:p>
        </w:tc>
        <w:tc>
          <w:tcPr>
            <w:tcW w:w="2639" w:type="dxa"/>
            <w:vAlign w:val="center"/>
          </w:tcPr>
          <w:p w14:paraId="4DD03C48">
            <w:pPr>
              <w:jc w:val="left"/>
              <w:rPr>
                <w:rFonts w:ascii="宋体" w:hAnsi="宋体" w:cs="宋体"/>
                <w:color w:val="auto"/>
              </w:rPr>
            </w:pPr>
            <w:r>
              <w:rPr>
                <w:rFonts w:hint="eastAsia" w:ascii="宋体" w:hAnsi="宋体" w:cs="宋体"/>
                <w:color w:val="auto"/>
              </w:rPr>
              <w:t>√首次申报项目</w:t>
            </w:r>
          </w:p>
          <w:p w14:paraId="5E90DD8F">
            <w:pPr>
              <w:jc w:val="left"/>
              <w:rPr>
                <w:rFonts w:ascii="宋体" w:hAnsi="宋体" w:cs="宋体"/>
                <w:color w:val="auto"/>
              </w:rPr>
            </w:pPr>
            <w:r>
              <w:rPr>
                <w:rFonts w:hint="eastAsia" w:ascii="宋体" w:hAnsi="宋体" w:cs="宋体"/>
                <w:color w:val="auto"/>
              </w:rPr>
              <w:t>□不予批准后再次申报项目</w:t>
            </w:r>
          </w:p>
          <w:p w14:paraId="445A027B">
            <w:pPr>
              <w:jc w:val="left"/>
              <w:rPr>
                <w:rFonts w:ascii="宋体" w:hAnsi="宋体" w:cs="宋体"/>
                <w:color w:val="auto"/>
              </w:rPr>
            </w:pPr>
            <w:r>
              <w:rPr>
                <w:rFonts w:hint="eastAsia" w:ascii="宋体" w:hAnsi="宋体" w:cs="宋体"/>
                <w:color w:val="auto"/>
              </w:rPr>
              <w:sym w:font="Wingdings 2" w:char="00A3"/>
            </w:r>
            <w:r>
              <w:rPr>
                <w:rFonts w:hint="eastAsia" w:ascii="宋体" w:hAnsi="宋体" w:cs="宋体"/>
                <w:color w:val="auto"/>
              </w:rPr>
              <w:t>超五年重新审核项目</w:t>
            </w:r>
          </w:p>
          <w:p w14:paraId="54D5A1A3">
            <w:pPr>
              <w:jc w:val="left"/>
              <w:rPr>
                <w:rFonts w:ascii="宋体" w:hAnsi="宋体" w:cs="宋体"/>
                <w:color w:val="auto"/>
              </w:rPr>
            </w:pPr>
            <w:r>
              <w:rPr>
                <w:rFonts w:hint="eastAsia" w:ascii="宋体" w:hAnsi="宋体" w:cs="宋体"/>
                <w:color w:val="auto"/>
              </w:rPr>
              <w:t>□重大变动重新报批项目</w:t>
            </w:r>
          </w:p>
        </w:tc>
      </w:tr>
      <w:tr w14:paraId="4D1022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14" w:type="dxa"/>
            <w:tcMar>
              <w:top w:w="16" w:type="dxa"/>
              <w:left w:w="16" w:type="dxa"/>
              <w:right w:w="16" w:type="dxa"/>
            </w:tcMar>
            <w:vAlign w:val="center"/>
          </w:tcPr>
          <w:p w14:paraId="5ED2BDAD">
            <w:pPr>
              <w:adjustRightInd w:val="0"/>
              <w:snapToGrid w:val="0"/>
              <w:jc w:val="center"/>
              <w:rPr>
                <w:rFonts w:ascii="宋体" w:hAnsi="宋体" w:cs="宋体"/>
                <w:color w:val="auto"/>
              </w:rPr>
            </w:pPr>
            <w:r>
              <w:rPr>
                <w:rFonts w:hint="eastAsia" w:ascii="宋体" w:hAnsi="宋体" w:cs="宋体"/>
                <w:color w:val="auto"/>
              </w:rPr>
              <w:t>项目审批（核准</w:t>
            </w:r>
            <w:r>
              <w:rPr>
                <w:rFonts w:ascii="宋体" w:hAnsi="宋体" w:cs="宋体"/>
                <w:color w:val="auto"/>
              </w:rPr>
              <w:t>/</w:t>
            </w:r>
          </w:p>
          <w:p w14:paraId="58D5122A">
            <w:pPr>
              <w:adjustRightInd w:val="0"/>
              <w:snapToGrid w:val="0"/>
              <w:jc w:val="center"/>
              <w:rPr>
                <w:rFonts w:ascii="宋体" w:hAnsi="宋体" w:cs="宋体"/>
                <w:color w:val="auto"/>
              </w:rPr>
            </w:pPr>
            <w:r>
              <w:rPr>
                <w:rFonts w:hint="eastAsia" w:ascii="宋体" w:hAnsi="宋体" w:cs="宋体"/>
                <w:color w:val="auto"/>
              </w:rPr>
              <w:t>备案）部门（选填）</w:t>
            </w:r>
          </w:p>
        </w:tc>
        <w:tc>
          <w:tcPr>
            <w:tcW w:w="2305" w:type="dxa"/>
            <w:vAlign w:val="center"/>
          </w:tcPr>
          <w:p w14:paraId="58DF4D65">
            <w:pPr>
              <w:adjustRightInd w:val="0"/>
              <w:snapToGrid w:val="0"/>
              <w:jc w:val="center"/>
              <w:rPr>
                <w:rFonts w:ascii="宋体" w:hAnsi="宋体" w:cs="宋体"/>
                <w:color w:val="auto"/>
              </w:rPr>
            </w:pPr>
            <w:r>
              <w:rPr>
                <w:rFonts w:hint="eastAsia" w:ascii="宋体" w:hAnsi="宋体" w:cs="宋体"/>
                <w:color w:val="auto"/>
              </w:rPr>
              <w:t>/</w:t>
            </w:r>
          </w:p>
        </w:tc>
        <w:tc>
          <w:tcPr>
            <w:tcW w:w="2212" w:type="dxa"/>
            <w:vAlign w:val="center"/>
          </w:tcPr>
          <w:p w14:paraId="579DF855">
            <w:pPr>
              <w:adjustRightInd w:val="0"/>
              <w:snapToGrid w:val="0"/>
              <w:jc w:val="center"/>
              <w:rPr>
                <w:rFonts w:ascii="宋体" w:hAnsi="宋体" w:cs="宋体"/>
                <w:color w:val="auto"/>
              </w:rPr>
            </w:pPr>
            <w:r>
              <w:rPr>
                <w:rFonts w:hint="eastAsia" w:ascii="宋体" w:hAnsi="宋体" w:cs="宋体"/>
                <w:color w:val="auto"/>
              </w:rPr>
              <w:t>项目审批（核准</w:t>
            </w:r>
            <w:r>
              <w:rPr>
                <w:rFonts w:ascii="宋体" w:hAnsi="宋体" w:cs="宋体"/>
                <w:color w:val="auto"/>
              </w:rPr>
              <w:t>/</w:t>
            </w:r>
          </w:p>
          <w:p w14:paraId="4B437CB7">
            <w:pPr>
              <w:adjustRightInd w:val="0"/>
              <w:snapToGrid w:val="0"/>
              <w:jc w:val="center"/>
              <w:rPr>
                <w:rFonts w:ascii="宋体" w:hAnsi="宋体" w:cs="宋体"/>
                <w:color w:val="auto"/>
              </w:rPr>
            </w:pPr>
            <w:r>
              <w:rPr>
                <w:rFonts w:hint="eastAsia" w:ascii="宋体" w:hAnsi="宋体" w:cs="宋体"/>
                <w:color w:val="auto"/>
              </w:rPr>
              <w:t>备案）文号（选填）</w:t>
            </w:r>
          </w:p>
        </w:tc>
        <w:tc>
          <w:tcPr>
            <w:tcW w:w="2639" w:type="dxa"/>
            <w:vAlign w:val="center"/>
          </w:tcPr>
          <w:p w14:paraId="070DCDD3">
            <w:pPr>
              <w:adjustRightInd w:val="0"/>
              <w:snapToGrid w:val="0"/>
              <w:jc w:val="center"/>
              <w:rPr>
                <w:rFonts w:ascii="宋体" w:hAnsi="宋体" w:cs="宋体"/>
                <w:color w:val="auto"/>
              </w:rPr>
            </w:pPr>
            <w:r>
              <w:rPr>
                <w:rFonts w:hint="eastAsia"/>
                <w:color w:val="auto"/>
              </w:rPr>
              <w:t>/</w:t>
            </w:r>
          </w:p>
        </w:tc>
      </w:tr>
      <w:tr w14:paraId="63CCAA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tcMar>
              <w:top w:w="16" w:type="dxa"/>
              <w:left w:w="16" w:type="dxa"/>
              <w:right w:w="16" w:type="dxa"/>
            </w:tcMar>
            <w:vAlign w:val="center"/>
          </w:tcPr>
          <w:p w14:paraId="7C96B272">
            <w:pPr>
              <w:adjustRightInd w:val="0"/>
              <w:snapToGrid w:val="0"/>
              <w:jc w:val="center"/>
              <w:rPr>
                <w:rFonts w:ascii="宋体" w:hAnsi="宋体" w:cs="宋体"/>
                <w:color w:val="auto"/>
              </w:rPr>
            </w:pPr>
            <w:r>
              <w:rPr>
                <w:rFonts w:hint="eastAsia" w:ascii="宋体" w:hAnsi="宋体" w:cs="宋体"/>
                <w:color w:val="auto"/>
              </w:rPr>
              <w:t>总投资（万元）</w:t>
            </w:r>
          </w:p>
        </w:tc>
        <w:tc>
          <w:tcPr>
            <w:tcW w:w="2305" w:type="dxa"/>
            <w:vAlign w:val="center"/>
          </w:tcPr>
          <w:p w14:paraId="5A306559">
            <w:pPr>
              <w:adjustRightInd w:val="0"/>
              <w:snapToGrid w:val="0"/>
              <w:jc w:val="center"/>
              <w:rPr>
                <w:rFonts w:ascii="宋体" w:hAnsi="宋体" w:cs="宋体"/>
                <w:color w:val="auto"/>
              </w:rPr>
            </w:pPr>
            <w:r>
              <w:rPr>
                <w:rFonts w:hint="eastAsia"/>
                <w:color w:val="auto"/>
              </w:rPr>
              <w:t>200</w:t>
            </w:r>
          </w:p>
        </w:tc>
        <w:tc>
          <w:tcPr>
            <w:tcW w:w="2212" w:type="dxa"/>
            <w:tcMar>
              <w:top w:w="16" w:type="dxa"/>
              <w:left w:w="16" w:type="dxa"/>
              <w:right w:w="16" w:type="dxa"/>
            </w:tcMar>
            <w:vAlign w:val="center"/>
          </w:tcPr>
          <w:p w14:paraId="4EB42FB1">
            <w:pPr>
              <w:adjustRightInd w:val="0"/>
              <w:snapToGrid w:val="0"/>
              <w:jc w:val="center"/>
              <w:rPr>
                <w:rFonts w:ascii="宋体" w:hAnsi="宋体" w:cs="宋体"/>
                <w:color w:val="auto"/>
              </w:rPr>
            </w:pPr>
            <w:r>
              <w:rPr>
                <w:rFonts w:hint="eastAsia" w:ascii="宋体" w:hAnsi="宋体" w:cs="宋体"/>
                <w:color w:val="auto"/>
              </w:rPr>
              <w:t>环保投资（万元）</w:t>
            </w:r>
          </w:p>
        </w:tc>
        <w:tc>
          <w:tcPr>
            <w:tcW w:w="2639" w:type="dxa"/>
            <w:vAlign w:val="center"/>
          </w:tcPr>
          <w:p w14:paraId="2864EE6C">
            <w:pPr>
              <w:adjustRightInd w:val="0"/>
              <w:snapToGrid w:val="0"/>
              <w:jc w:val="center"/>
              <w:rPr>
                <w:rFonts w:ascii="宋体" w:hAnsi="宋体" w:cs="宋体"/>
                <w:color w:val="auto"/>
              </w:rPr>
            </w:pPr>
            <w:r>
              <w:rPr>
                <w:rFonts w:hint="eastAsia"/>
                <w:color w:val="auto"/>
              </w:rPr>
              <w:t>33</w:t>
            </w:r>
          </w:p>
        </w:tc>
      </w:tr>
      <w:tr w14:paraId="53F05B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tcMar>
              <w:top w:w="16" w:type="dxa"/>
              <w:left w:w="16" w:type="dxa"/>
              <w:right w:w="16" w:type="dxa"/>
            </w:tcMar>
            <w:vAlign w:val="center"/>
          </w:tcPr>
          <w:p w14:paraId="5E106D84">
            <w:pPr>
              <w:adjustRightInd w:val="0"/>
              <w:snapToGrid w:val="0"/>
              <w:jc w:val="center"/>
              <w:rPr>
                <w:color w:val="auto"/>
              </w:rPr>
            </w:pPr>
            <w:r>
              <w:rPr>
                <w:rFonts w:hint="eastAsia"/>
                <w:color w:val="auto"/>
              </w:rPr>
              <w:t>环保投资占比（</w:t>
            </w:r>
            <w:r>
              <w:rPr>
                <w:color w:val="auto"/>
              </w:rPr>
              <w:t>%</w:t>
            </w:r>
            <w:r>
              <w:rPr>
                <w:rFonts w:hint="eastAsia"/>
                <w:color w:val="auto"/>
              </w:rPr>
              <w:t>）</w:t>
            </w:r>
          </w:p>
        </w:tc>
        <w:tc>
          <w:tcPr>
            <w:tcW w:w="2305" w:type="dxa"/>
            <w:vAlign w:val="center"/>
          </w:tcPr>
          <w:p w14:paraId="2BD7AAEC">
            <w:pPr>
              <w:adjustRightInd w:val="0"/>
              <w:snapToGrid w:val="0"/>
              <w:jc w:val="center"/>
              <w:rPr>
                <w:color w:val="auto"/>
              </w:rPr>
            </w:pPr>
            <w:r>
              <w:rPr>
                <w:rFonts w:hint="eastAsia"/>
                <w:color w:val="auto"/>
              </w:rPr>
              <w:t>16.5</w:t>
            </w:r>
          </w:p>
        </w:tc>
        <w:tc>
          <w:tcPr>
            <w:tcW w:w="2212" w:type="dxa"/>
            <w:tcMar>
              <w:top w:w="16" w:type="dxa"/>
              <w:left w:w="16" w:type="dxa"/>
              <w:right w:w="16" w:type="dxa"/>
            </w:tcMar>
            <w:vAlign w:val="center"/>
          </w:tcPr>
          <w:p w14:paraId="0DD58CF5">
            <w:pPr>
              <w:adjustRightInd w:val="0"/>
              <w:snapToGrid w:val="0"/>
              <w:jc w:val="center"/>
              <w:rPr>
                <w:rFonts w:ascii="宋体" w:hAnsi="宋体" w:cs="宋体"/>
                <w:color w:val="auto"/>
              </w:rPr>
            </w:pPr>
            <w:r>
              <w:rPr>
                <w:rFonts w:hint="eastAsia" w:ascii="宋体" w:hAnsi="宋体" w:cs="宋体"/>
                <w:color w:val="auto"/>
              </w:rPr>
              <w:t>施工工期（月）</w:t>
            </w:r>
          </w:p>
        </w:tc>
        <w:tc>
          <w:tcPr>
            <w:tcW w:w="2639" w:type="dxa"/>
            <w:vAlign w:val="center"/>
          </w:tcPr>
          <w:p w14:paraId="1D0D6BA2">
            <w:pPr>
              <w:adjustRightInd w:val="0"/>
              <w:snapToGrid w:val="0"/>
              <w:jc w:val="center"/>
              <w:rPr>
                <w:rFonts w:ascii="宋体" w:hAnsi="宋体" w:cs="宋体"/>
                <w:color w:val="auto"/>
              </w:rPr>
            </w:pPr>
            <w:r>
              <w:rPr>
                <w:color w:val="auto"/>
              </w:rPr>
              <w:t>2</w:t>
            </w:r>
          </w:p>
        </w:tc>
      </w:tr>
      <w:tr w14:paraId="19E1B8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tcMar>
              <w:top w:w="16" w:type="dxa"/>
              <w:left w:w="16" w:type="dxa"/>
              <w:right w:w="16" w:type="dxa"/>
            </w:tcMar>
            <w:vAlign w:val="center"/>
          </w:tcPr>
          <w:p w14:paraId="177B7248">
            <w:pPr>
              <w:adjustRightInd w:val="0"/>
              <w:snapToGrid w:val="0"/>
              <w:jc w:val="center"/>
              <w:rPr>
                <w:rFonts w:ascii="宋体" w:hAnsi="宋体" w:cs="宋体"/>
                <w:color w:val="auto"/>
              </w:rPr>
            </w:pPr>
            <w:r>
              <w:rPr>
                <w:rFonts w:hint="eastAsia" w:ascii="宋体" w:hAnsi="宋体" w:cs="宋体"/>
                <w:color w:val="auto"/>
              </w:rPr>
              <w:t>是否开工建设</w:t>
            </w:r>
          </w:p>
        </w:tc>
        <w:tc>
          <w:tcPr>
            <w:tcW w:w="2305" w:type="dxa"/>
            <w:vAlign w:val="center"/>
          </w:tcPr>
          <w:p w14:paraId="252D760A">
            <w:pPr>
              <w:adjustRightInd w:val="0"/>
              <w:snapToGrid w:val="0"/>
              <w:rPr>
                <w:rFonts w:ascii="宋体" w:hAnsi="宋体" w:cs="宋体"/>
                <w:color w:val="auto"/>
              </w:rPr>
            </w:pPr>
            <w:r>
              <w:rPr>
                <w:rFonts w:hint="eastAsia" w:ascii="宋体" w:hAnsi="宋体" w:cs="宋体"/>
                <w:color w:val="auto"/>
              </w:rPr>
              <w:t>√否</w:t>
            </w:r>
          </w:p>
          <w:p w14:paraId="0F080AD1">
            <w:pPr>
              <w:adjustRightInd w:val="0"/>
              <w:snapToGrid w:val="0"/>
              <w:rPr>
                <w:rFonts w:ascii="宋体" w:hAnsi="宋体" w:cs="宋体"/>
                <w:color w:val="auto"/>
              </w:rPr>
            </w:pPr>
            <w:r>
              <w:rPr>
                <w:rFonts w:hint="eastAsia" w:ascii="宋体" w:hAnsi="宋体" w:cs="宋体"/>
                <w:color w:val="auto"/>
              </w:rPr>
              <w:sym w:font="Wingdings 2" w:char="00A3"/>
            </w:r>
            <w:r>
              <w:rPr>
                <w:rFonts w:hint="eastAsia" w:ascii="宋体" w:hAnsi="宋体" w:cs="宋体"/>
                <w:color w:val="auto"/>
              </w:rPr>
              <w:t>是：</w:t>
            </w:r>
          </w:p>
        </w:tc>
        <w:tc>
          <w:tcPr>
            <w:tcW w:w="2212" w:type="dxa"/>
            <w:tcMar>
              <w:top w:w="16" w:type="dxa"/>
              <w:left w:w="16" w:type="dxa"/>
              <w:right w:w="16" w:type="dxa"/>
            </w:tcMar>
            <w:vAlign w:val="center"/>
          </w:tcPr>
          <w:p w14:paraId="17BA4FE8">
            <w:pPr>
              <w:adjustRightInd w:val="0"/>
              <w:snapToGrid w:val="0"/>
              <w:jc w:val="center"/>
              <w:rPr>
                <w:rFonts w:ascii="宋体" w:hAnsi="宋体" w:cs="宋体"/>
                <w:color w:val="auto"/>
                <w:spacing w:val="-6"/>
              </w:rPr>
            </w:pPr>
            <w:r>
              <w:rPr>
                <w:rFonts w:hint="eastAsia" w:ascii="宋体" w:hAnsi="宋体" w:cs="宋体"/>
                <w:color w:val="auto"/>
                <w:spacing w:val="-6"/>
              </w:rPr>
              <w:t>用地（用海）</w:t>
            </w:r>
          </w:p>
          <w:p w14:paraId="485B2E54">
            <w:pPr>
              <w:adjustRightInd w:val="0"/>
              <w:snapToGrid w:val="0"/>
              <w:jc w:val="center"/>
              <w:rPr>
                <w:rFonts w:ascii="宋体" w:hAnsi="宋体" w:cs="宋体"/>
                <w:color w:val="auto"/>
              </w:rPr>
            </w:pPr>
            <w:r>
              <w:rPr>
                <w:rFonts w:hint="eastAsia" w:ascii="宋体" w:hAnsi="宋体" w:cs="宋体"/>
                <w:color w:val="auto"/>
                <w:spacing w:val="-6"/>
              </w:rPr>
              <w:t>面积（</w:t>
            </w:r>
            <w:r>
              <w:rPr>
                <w:rFonts w:ascii="宋体" w:hAnsi="宋体" w:cs="宋体"/>
                <w:color w:val="auto"/>
                <w:spacing w:val="-6"/>
              </w:rPr>
              <w:t>m</w:t>
            </w:r>
            <w:r>
              <w:rPr>
                <w:rFonts w:ascii="宋体" w:hAnsi="宋体" w:cs="宋体"/>
                <w:color w:val="auto"/>
                <w:spacing w:val="-6"/>
                <w:vertAlign w:val="superscript"/>
              </w:rPr>
              <w:t>2</w:t>
            </w:r>
            <w:r>
              <w:rPr>
                <w:rFonts w:hint="eastAsia" w:ascii="宋体" w:hAnsi="宋体" w:cs="宋体"/>
                <w:color w:val="auto"/>
                <w:spacing w:val="-6"/>
              </w:rPr>
              <w:t>）</w:t>
            </w:r>
          </w:p>
        </w:tc>
        <w:tc>
          <w:tcPr>
            <w:tcW w:w="2639" w:type="dxa"/>
            <w:vAlign w:val="center"/>
          </w:tcPr>
          <w:p w14:paraId="47F29EFB">
            <w:pPr>
              <w:adjustRightInd w:val="0"/>
              <w:snapToGrid w:val="0"/>
              <w:jc w:val="center"/>
              <w:rPr>
                <w:rFonts w:ascii="宋体" w:hAnsi="宋体" w:cs="宋体"/>
                <w:color w:val="auto"/>
              </w:rPr>
            </w:pPr>
            <w:r>
              <w:rPr>
                <w:rFonts w:hint="eastAsia"/>
                <w:color w:val="auto"/>
              </w:rPr>
              <w:t>6000</w:t>
            </w:r>
          </w:p>
        </w:tc>
      </w:tr>
      <w:tr w14:paraId="2C7745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1714" w:type="dxa"/>
            <w:vAlign w:val="center"/>
          </w:tcPr>
          <w:p w14:paraId="4AE41787">
            <w:pPr>
              <w:autoSpaceDE w:val="0"/>
              <w:autoSpaceDN w:val="0"/>
              <w:adjustRightInd w:val="0"/>
              <w:snapToGrid w:val="0"/>
              <w:jc w:val="center"/>
              <w:rPr>
                <w:rFonts w:ascii="宋体" w:hAnsi="宋体" w:cs="宋体"/>
                <w:color w:val="auto"/>
              </w:rPr>
            </w:pPr>
            <w:r>
              <w:rPr>
                <w:rFonts w:hint="eastAsia" w:ascii="宋体" w:hAnsi="宋体" w:cs="宋体"/>
                <w:color w:val="auto"/>
              </w:rPr>
              <w:t>专项评价设置情况</w:t>
            </w:r>
          </w:p>
        </w:tc>
        <w:tc>
          <w:tcPr>
            <w:tcW w:w="7156" w:type="dxa"/>
            <w:gridSpan w:val="3"/>
            <w:vAlign w:val="center"/>
          </w:tcPr>
          <w:p w14:paraId="156718D4">
            <w:pPr>
              <w:autoSpaceDE w:val="0"/>
              <w:autoSpaceDN w:val="0"/>
              <w:adjustRightInd w:val="0"/>
              <w:snapToGrid w:val="0"/>
              <w:jc w:val="center"/>
              <w:rPr>
                <w:rFonts w:ascii="宋体" w:hAnsi="宋体" w:cs="宋体"/>
                <w:color w:val="auto"/>
              </w:rPr>
            </w:pPr>
            <w:r>
              <w:rPr>
                <w:rFonts w:ascii="宋体" w:hAnsi="宋体" w:cs="宋体"/>
                <w:color w:val="auto"/>
              </w:rPr>
              <w:t>无</w:t>
            </w:r>
          </w:p>
        </w:tc>
      </w:tr>
      <w:tr w14:paraId="7BDFA9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714" w:type="dxa"/>
            <w:vAlign w:val="center"/>
          </w:tcPr>
          <w:p w14:paraId="6BB5AD68">
            <w:pPr>
              <w:autoSpaceDE w:val="0"/>
              <w:autoSpaceDN w:val="0"/>
              <w:adjustRightInd w:val="0"/>
              <w:snapToGrid w:val="0"/>
              <w:jc w:val="center"/>
              <w:rPr>
                <w:rFonts w:ascii="宋体" w:hAnsi="宋体" w:cs="宋体"/>
                <w:color w:val="auto"/>
              </w:rPr>
            </w:pPr>
            <w:r>
              <w:rPr>
                <w:rFonts w:hint="eastAsia" w:ascii="宋体" w:hAnsi="宋体" w:cs="宋体"/>
                <w:color w:val="auto"/>
              </w:rPr>
              <w:t>规划情况</w:t>
            </w:r>
          </w:p>
        </w:tc>
        <w:tc>
          <w:tcPr>
            <w:tcW w:w="7156" w:type="dxa"/>
            <w:gridSpan w:val="3"/>
            <w:vAlign w:val="center"/>
          </w:tcPr>
          <w:p w14:paraId="42085A6F">
            <w:pPr>
              <w:adjustRightInd w:val="0"/>
              <w:snapToGrid w:val="0"/>
              <w:spacing w:beforeLines="50" w:line="360" w:lineRule="auto"/>
              <w:ind w:firstLine="420" w:firstLineChars="200"/>
              <w:jc w:val="left"/>
              <w:rPr>
                <w:i/>
                <w:iCs/>
                <w:color w:val="auto"/>
                <w:u w:val="single"/>
              </w:rPr>
            </w:pPr>
            <w:r>
              <w:rPr>
                <w:rFonts w:hint="eastAsia"/>
                <w:i/>
                <w:iCs/>
                <w:color w:val="auto"/>
                <w:u w:val="single"/>
              </w:rPr>
              <w:t>白山市江源区人民政府关于《吉林江源经济开发区总体规划（2020-2035年）》的批复（江源政函[2021]147号），根据该规划，开发区规划范围总体分为江源片区和石人镇片区，规划总用地面积为1310.115hm</w:t>
            </w:r>
            <w:r>
              <w:rPr>
                <w:rFonts w:hint="eastAsia"/>
                <w:i/>
                <w:iCs/>
                <w:color w:val="auto"/>
                <w:u w:val="single"/>
                <w:vertAlign w:val="superscript"/>
              </w:rPr>
              <w:t>2</w:t>
            </w:r>
            <w:r>
              <w:rPr>
                <w:rFonts w:hint="eastAsia"/>
                <w:i/>
                <w:iCs/>
                <w:color w:val="auto"/>
                <w:u w:val="single"/>
              </w:rPr>
              <w:t>。其中：</w:t>
            </w:r>
          </w:p>
          <w:p w14:paraId="51D44865">
            <w:pPr>
              <w:adjustRightInd w:val="0"/>
              <w:snapToGrid w:val="0"/>
              <w:spacing w:line="360" w:lineRule="auto"/>
              <w:ind w:firstLine="420" w:firstLineChars="200"/>
              <w:jc w:val="left"/>
              <w:rPr>
                <w:i/>
                <w:iCs/>
                <w:color w:val="auto"/>
                <w:u w:val="single"/>
              </w:rPr>
            </w:pPr>
            <w:r>
              <w:rPr>
                <w:rFonts w:hint="eastAsia"/>
                <w:i/>
                <w:iCs/>
                <w:color w:val="auto"/>
                <w:u w:val="single"/>
              </w:rPr>
              <w:t>（1）新型建材及新材料制造产业园位于石人镇片区，规划范围东至大石棚子村二社林业检查站，西至石人河小河口村三社大桥，南至北山社区五委，北至后堡子村一社后山根，规划用地面积为426.54hm</w:t>
            </w:r>
            <w:r>
              <w:rPr>
                <w:rFonts w:hint="eastAsia"/>
                <w:i/>
                <w:iCs/>
                <w:color w:val="auto"/>
                <w:u w:val="single"/>
                <w:vertAlign w:val="superscript"/>
              </w:rPr>
              <w:t>2</w:t>
            </w:r>
            <w:r>
              <w:rPr>
                <w:rFonts w:hint="eastAsia"/>
                <w:i/>
                <w:iCs/>
                <w:color w:val="auto"/>
                <w:u w:val="single"/>
              </w:rPr>
              <w:t>。</w:t>
            </w:r>
          </w:p>
          <w:p w14:paraId="3B44C8C0">
            <w:pPr>
              <w:adjustRightInd w:val="0"/>
              <w:snapToGrid w:val="0"/>
              <w:spacing w:line="360" w:lineRule="auto"/>
              <w:ind w:firstLine="420" w:firstLineChars="200"/>
              <w:jc w:val="left"/>
              <w:rPr>
                <w:i/>
                <w:iCs/>
                <w:color w:val="auto"/>
                <w:u w:val="single"/>
              </w:rPr>
            </w:pPr>
            <w:r>
              <w:rPr>
                <w:rFonts w:hint="eastAsia"/>
                <w:i/>
                <w:iCs/>
                <w:color w:val="auto"/>
                <w:u w:val="single"/>
              </w:rPr>
              <w:t>（2）长白山特色食药科技产业园位于江源片区，规划范围东至城墙街道城墙砬子，西至西外环公路，南至城墙社区阳光花园小区，北至后大台子水库，规划用地而积 265.905hm</w:t>
            </w:r>
            <w:r>
              <w:rPr>
                <w:rFonts w:hint="eastAsia"/>
                <w:i/>
                <w:iCs/>
                <w:color w:val="auto"/>
                <w:u w:val="single"/>
                <w:vertAlign w:val="superscript"/>
              </w:rPr>
              <w:t>2</w:t>
            </w:r>
            <w:r>
              <w:rPr>
                <w:rFonts w:hint="eastAsia"/>
                <w:i/>
                <w:iCs/>
                <w:color w:val="auto"/>
                <w:u w:val="single"/>
              </w:rPr>
              <w:t>。</w:t>
            </w:r>
          </w:p>
          <w:p w14:paraId="18A4A2B6">
            <w:pPr>
              <w:adjustRightInd w:val="0"/>
              <w:snapToGrid w:val="0"/>
              <w:spacing w:line="360" w:lineRule="auto"/>
              <w:ind w:firstLine="420" w:firstLineChars="200"/>
              <w:jc w:val="left"/>
              <w:rPr>
                <w:i/>
                <w:iCs/>
                <w:color w:val="auto"/>
                <w:u w:val="single"/>
              </w:rPr>
            </w:pPr>
            <w:r>
              <w:rPr>
                <w:rFonts w:hint="eastAsia"/>
                <w:i/>
                <w:iCs/>
                <w:color w:val="auto"/>
                <w:u w:val="single"/>
              </w:rPr>
              <w:t>（3）煤炭循环经济产业园位于江源片区，规划范围东至协力村小苇塘沟门，西至江源煤业孙家堡子河，南至八宝村四社原八宝粮库，北至通白铁路江源火车站，规划用地面积 488.86hm</w:t>
            </w:r>
            <w:r>
              <w:rPr>
                <w:rFonts w:hint="eastAsia"/>
                <w:i/>
                <w:iCs/>
                <w:color w:val="auto"/>
                <w:u w:val="single"/>
                <w:vertAlign w:val="superscript"/>
              </w:rPr>
              <w:t>2</w:t>
            </w:r>
            <w:r>
              <w:rPr>
                <w:rFonts w:hint="eastAsia"/>
                <w:i/>
                <w:iCs/>
                <w:color w:val="auto"/>
                <w:u w:val="single"/>
              </w:rPr>
              <w:t>。</w:t>
            </w:r>
          </w:p>
          <w:p w14:paraId="325423E5">
            <w:pPr>
              <w:adjustRightInd w:val="0"/>
              <w:snapToGrid w:val="0"/>
              <w:spacing w:line="360" w:lineRule="auto"/>
              <w:ind w:firstLine="420" w:firstLineChars="200"/>
              <w:jc w:val="left"/>
              <w:rPr>
                <w:i/>
                <w:iCs/>
                <w:color w:val="auto"/>
                <w:u w:val="single"/>
              </w:rPr>
            </w:pPr>
            <w:r>
              <w:rPr>
                <w:rFonts w:hint="eastAsia"/>
                <w:i/>
                <w:iCs/>
                <w:color w:val="auto"/>
                <w:u w:val="single"/>
              </w:rPr>
              <w:t>（4）木材加工园位于江源片区，规划范围东至正岔街道城华村六社窑沟，西至正岔街道森工村三社沟门，南至正岔街道城华村五社南沟，北至正岔街道立新村三社小东岔，规划用地而积128.81hm</w:t>
            </w:r>
            <w:r>
              <w:rPr>
                <w:rFonts w:hint="eastAsia"/>
                <w:i/>
                <w:iCs/>
                <w:color w:val="auto"/>
                <w:u w:val="single"/>
                <w:vertAlign w:val="superscript"/>
              </w:rPr>
              <w:t>2</w:t>
            </w:r>
            <w:r>
              <w:rPr>
                <w:rFonts w:hint="eastAsia"/>
                <w:i/>
                <w:iCs/>
                <w:color w:val="auto"/>
                <w:u w:val="single"/>
              </w:rPr>
              <w:t>。</w:t>
            </w:r>
          </w:p>
          <w:p w14:paraId="175C884B">
            <w:pPr>
              <w:adjustRightInd w:val="0"/>
              <w:snapToGrid w:val="0"/>
              <w:spacing w:line="360" w:lineRule="auto"/>
              <w:ind w:firstLine="420" w:firstLineChars="200"/>
              <w:jc w:val="left"/>
              <w:rPr>
                <w:i/>
                <w:iCs/>
                <w:color w:val="auto"/>
                <w:u w:val="single"/>
              </w:rPr>
            </w:pPr>
            <w:r>
              <w:rPr>
                <w:rFonts w:hint="eastAsia"/>
                <w:i/>
                <w:iCs/>
                <w:color w:val="auto"/>
                <w:u w:val="single"/>
              </w:rPr>
              <w:t>本项目选址位于白山市江源区石人镇林子头村，不在开发区范围内，具体位置关系详见下图。</w:t>
            </w:r>
          </w:p>
          <w:p w14:paraId="08D86F36">
            <w:pPr>
              <w:adjustRightInd w:val="0"/>
              <w:snapToGrid w:val="0"/>
              <w:spacing w:line="360" w:lineRule="auto"/>
              <w:jc w:val="left"/>
              <w:rPr>
                <w:color w:val="auto"/>
              </w:rPr>
            </w:pPr>
            <w:r>
              <w:rPr>
                <w:i/>
                <w:iCs/>
                <w:color w:val="auto"/>
                <w:u w:val="single"/>
              </w:rPr>
              <mc:AlternateContent>
                <mc:Choice Requires="wps">
                  <w:drawing>
                    <wp:anchor distT="0" distB="0" distL="114300" distR="114300" simplePos="0" relativeHeight="251661312" behindDoc="0" locked="0" layoutInCell="1" allowOverlap="1">
                      <wp:simplePos x="0" y="0"/>
                      <wp:positionH relativeFrom="column">
                        <wp:posOffset>2667635</wp:posOffset>
                      </wp:positionH>
                      <wp:positionV relativeFrom="paragraph">
                        <wp:posOffset>1369060</wp:posOffset>
                      </wp:positionV>
                      <wp:extent cx="577215" cy="222885"/>
                      <wp:effectExtent l="0" t="0" r="0" b="0"/>
                      <wp:wrapNone/>
                      <wp:docPr id="13" name="矩形 13"/>
                      <wp:cNvGraphicFramePr/>
                      <a:graphic xmlns:a="http://schemas.openxmlformats.org/drawingml/2006/main">
                        <a:graphicData uri="http://schemas.microsoft.com/office/word/2010/wordprocessingShape">
                          <wps:wsp>
                            <wps:cNvSpPr/>
                            <wps:spPr>
                              <a:xfrm>
                                <a:off x="5420995" y="4234180"/>
                                <a:ext cx="577215" cy="222885"/>
                              </a:xfrm>
                              <a:prstGeom prst="rect">
                                <a:avLst/>
                              </a:prstGeom>
                              <a:noFill/>
                              <a:ln w="19050" cap="flat" cmpd="sng" algn="ctr">
                                <a:noFill/>
                                <a:prstDash val="solid"/>
                                <a:miter lim="800000"/>
                              </a:ln>
                              <a:effectLst/>
                            </wps:spPr>
                            <wps:txbx>
                              <w:txbxContent>
                                <w:p w14:paraId="755ADE40">
                                  <w:pPr>
                                    <w:jc w:val="center"/>
                                    <w:rPr>
                                      <w:color w:val="FF0000"/>
                                      <w:sz w:val="11"/>
                                      <w:szCs w:val="11"/>
                                    </w:rPr>
                                  </w:pPr>
                                  <w:r>
                                    <w:rPr>
                                      <w:rFonts w:hint="eastAsia"/>
                                      <w:color w:val="FF0000"/>
                                      <w:sz w:val="11"/>
                                      <w:szCs w:val="11"/>
                                    </w:rPr>
                                    <w:t>项目选址处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0.05pt;margin-top:107.8pt;height:17.55pt;width:45.45pt;z-index:251661312;v-text-anchor:middle;mso-width-relative:page;mso-height-relative:page;" filled="f" stroked="f" coordsize="21600,21600" o:gfxdata="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Rs44x2wAAAAsBAAAPAAAAAAAAAAEAIAAAACIAAABkcnMv&#10;ZG93bnJldi54bWxQSwECFAAUAAAACACHTuJA4LNNE3ICAADIBAAADgAAAAAAAAABACAAAAAqAQAA&#10;ZHJzL2Uyb0RvYy54bWxQSwUGAAAAAAYABgBZAQAADgYAAAAA&#10;">
                      <v:fill on="f" focussize="0,0"/>
                      <v:stroke on="f" weight="1.5pt" miterlimit="8" joinstyle="miter"/>
                      <v:imagedata o:title=""/>
                      <o:lock v:ext="edit" aspectratio="f"/>
                      <v:textbox>
                        <w:txbxContent>
                          <w:p w14:paraId="755ADE40">
                            <w:pPr>
                              <w:jc w:val="center"/>
                              <w:rPr>
                                <w:color w:val="FF0000"/>
                                <w:sz w:val="11"/>
                                <w:szCs w:val="11"/>
                              </w:rPr>
                            </w:pPr>
                            <w:r>
                              <w:rPr>
                                <w:rFonts w:hint="eastAsia"/>
                                <w:color w:val="FF0000"/>
                                <w:sz w:val="11"/>
                                <w:szCs w:val="11"/>
                              </w:rPr>
                              <w:t>项目选址处</w:t>
                            </w:r>
                          </w:p>
                        </w:txbxContent>
                      </v:textbox>
                    </v:rect>
                  </w:pict>
                </mc:Fallback>
              </mc:AlternateContent>
            </w:r>
            <w:r>
              <w:rPr>
                <w:i/>
                <w:iCs/>
                <w:color w:val="auto"/>
                <w:u w:val="single"/>
              </w:rPr>
              <mc:AlternateContent>
                <mc:Choice Requires="wps">
                  <w:drawing>
                    <wp:anchor distT="0" distB="0" distL="114300" distR="114300" simplePos="0" relativeHeight="251660288" behindDoc="0" locked="0" layoutInCell="1" allowOverlap="1">
                      <wp:simplePos x="0" y="0"/>
                      <wp:positionH relativeFrom="column">
                        <wp:posOffset>2901315</wp:posOffset>
                      </wp:positionH>
                      <wp:positionV relativeFrom="paragraph">
                        <wp:posOffset>1337310</wp:posOffset>
                      </wp:positionV>
                      <wp:extent cx="86360" cy="81915"/>
                      <wp:effectExtent l="14605" t="15240" r="32385" b="17145"/>
                      <wp:wrapNone/>
                      <wp:docPr id="3" name="五角星 12"/>
                      <wp:cNvGraphicFramePr/>
                      <a:graphic xmlns:a="http://schemas.openxmlformats.org/drawingml/2006/main">
                        <a:graphicData uri="http://schemas.microsoft.com/office/word/2010/wordprocessingShape">
                          <wps:wsp>
                            <wps:cNvSpPr/>
                            <wps:spPr>
                              <a:xfrm>
                                <a:off x="5189855" y="4020820"/>
                                <a:ext cx="86360" cy="81915"/>
                              </a:xfrm>
                              <a:prstGeom prst="star5">
                                <a:avLst/>
                              </a:prstGeom>
                              <a:solidFill>
                                <a:srgbClr val="FF0000"/>
                              </a:solidFill>
                              <a:ln w="3175"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五角星 12" o:spid="_x0000_s1026" style="position:absolute;left:0pt;margin-left:228.45pt;margin-top:105.3pt;height:6.45pt;width:6.8pt;z-index:251660288;v-text-anchor:middle;mso-width-relative:page;mso-height-relative:page;" fillcolor="#FF0000" filled="t" stroked="t" coordsize="86360,81915" o:gfxdata="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A/HGj/aAAAACwEAAA8A&#10;AAAAAAAAAQAgAAAAIgAAAGRycy9kb3ducmV2LnhtbFBLAQIUABQAAAAIAIdO4kChCxYJhwIAAA8F&#10;AAAOAAAAAAAAAAEAIAAAACkBAABkcnMvZTJvRG9jLnhtbFBLBQYAAAAABgAGAFkBAAAiBgAAAAA=&#10;" path="m0,31288l32986,31288,43180,0,53373,31288,86359,31288,59672,50626,69866,81914,43180,62577,16493,81914,26687,50626xe">
                      <v:path o:connectlocs="43180,0;0,31288;16493,81914;69866,81914;86359,31288" o:connectangles="247,164,82,82,0"/>
                      <v:fill on="t" focussize="0,0"/>
                      <v:stroke weight="0.25pt" color="#000000" miterlimit="8" joinstyle="miter"/>
                      <v:imagedata o:title=""/>
                      <o:lock v:ext="edit" aspectratio="f"/>
                    </v:shape>
                  </w:pict>
                </mc:Fallback>
              </mc:AlternateContent>
            </w:r>
            <w:r>
              <w:rPr>
                <w:i/>
                <w:iCs/>
                <w:color w:val="auto"/>
                <w:u w:val="single"/>
              </w:rPr>
              <w:drawing>
                <wp:inline distT="0" distB="0" distL="114300" distR="114300">
                  <wp:extent cx="4396740" cy="2945765"/>
                  <wp:effectExtent l="0" t="0" r="3810" b="6985"/>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9"/>
                          <a:stretch>
                            <a:fillRect/>
                          </a:stretch>
                        </pic:blipFill>
                        <pic:spPr>
                          <a:xfrm>
                            <a:off x="0" y="0"/>
                            <a:ext cx="4396740" cy="2945765"/>
                          </a:xfrm>
                          <a:prstGeom prst="rect">
                            <a:avLst/>
                          </a:prstGeom>
                          <a:noFill/>
                          <a:ln>
                            <a:noFill/>
                          </a:ln>
                        </pic:spPr>
                      </pic:pic>
                    </a:graphicData>
                  </a:graphic>
                </wp:inline>
              </w:drawing>
            </w:r>
          </w:p>
          <w:p w14:paraId="22975B23">
            <w:pPr>
              <w:spacing w:afterLines="50"/>
              <w:jc w:val="center"/>
              <w:rPr>
                <w:color w:val="auto"/>
                <w:sz w:val="10"/>
                <w:szCs w:val="10"/>
              </w:rPr>
            </w:pPr>
          </w:p>
        </w:tc>
      </w:tr>
      <w:tr w14:paraId="111982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714" w:type="dxa"/>
            <w:vAlign w:val="center"/>
          </w:tcPr>
          <w:p w14:paraId="13F476D5">
            <w:pPr>
              <w:autoSpaceDE w:val="0"/>
              <w:autoSpaceDN w:val="0"/>
              <w:adjustRightInd w:val="0"/>
              <w:snapToGrid w:val="0"/>
              <w:jc w:val="center"/>
              <w:rPr>
                <w:rFonts w:ascii="宋体" w:hAnsi="宋体" w:cs="宋体"/>
                <w:color w:val="auto"/>
              </w:rPr>
            </w:pPr>
            <w:r>
              <w:rPr>
                <w:rFonts w:hint="eastAsia" w:ascii="宋体" w:hAnsi="宋体" w:cs="宋体"/>
                <w:color w:val="auto"/>
              </w:rPr>
              <w:t>规划环境影响</w:t>
            </w:r>
          </w:p>
          <w:p w14:paraId="65AB7696">
            <w:pPr>
              <w:autoSpaceDE w:val="0"/>
              <w:autoSpaceDN w:val="0"/>
              <w:adjustRightInd w:val="0"/>
              <w:snapToGrid w:val="0"/>
              <w:jc w:val="center"/>
              <w:rPr>
                <w:rFonts w:ascii="宋体" w:hAnsi="宋体" w:cs="宋体"/>
                <w:color w:val="auto"/>
              </w:rPr>
            </w:pPr>
            <w:r>
              <w:rPr>
                <w:rFonts w:hint="eastAsia" w:ascii="宋体" w:hAnsi="宋体" w:cs="宋体"/>
                <w:color w:val="auto"/>
              </w:rPr>
              <w:t>评价情况</w:t>
            </w:r>
          </w:p>
        </w:tc>
        <w:tc>
          <w:tcPr>
            <w:tcW w:w="7156" w:type="dxa"/>
            <w:gridSpan w:val="3"/>
            <w:vAlign w:val="center"/>
          </w:tcPr>
          <w:p w14:paraId="677587D7">
            <w:pPr>
              <w:autoSpaceDE w:val="0"/>
              <w:autoSpaceDN w:val="0"/>
              <w:adjustRightInd w:val="0"/>
              <w:snapToGrid w:val="0"/>
              <w:jc w:val="center"/>
              <w:rPr>
                <w:rFonts w:ascii="宋体" w:hAnsi="宋体" w:cs="宋体"/>
                <w:color w:val="auto"/>
              </w:rPr>
            </w:pPr>
            <w:r>
              <w:rPr>
                <w:rFonts w:hint="eastAsia" w:ascii="宋体" w:hAnsi="宋体" w:cs="宋体"/>
                <w:color w:val="auto"/>
              </w:rPr>
              <w:t>无</w:t>
            </w:r>
          </w:p>
        </w:tc>
      </w:tr>
      <w:tr w14:paraId="19F8A2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714" w:type="dxa"/>
            <w:vAlign w:val="center"/>
          </w:tcPr>
          <w:p w14:paraId="41BD76C5">
            <w:pPr>
              <w:autoSpaceDE w:val="0"/>
              <w:autoSpaceDN w:val="0"/>
              <w:adjustRightInd w:val="0"/>
              <w:snapToGrid w:val="0"/>
              <w:jc w:val="center"/>
              <w:rPr>
                <w:rFonts w:ascii="宋体" w:hAnsi="宋体" w:cs="宋体"/>
                <w:color w:val="auto"/>
              </w:rPr>
            </w:pPr>
            <w:r>
              <w:rPr>
                <w:rFonts w:hint="eastAsia" w:ascii="宋体" w:hAnsi="宋体" w:cs="宋体"/>
                <w:color w:val="auto"/>
              </w:rPr>
              <w:t>规划及规划环境</w:t>
            </w:r>
          </w:p>
          <w:p w14:paraId="094A6339">
            <w:pPr>
              <w:autoSpaceDE w:val="0"/>
              <w:autoSpaceDN w:val="0"/>
              <w:adjustRightInd w:val="0"/>
              <w:snapToGrid w:val="0"/>
              <w:jc w:val="center"/>
              <w:rPr>
                <w:rFonts w:ascii="宋体" w:hAnsi="宋体" w:cs="宋体"/>
                <w:color w:val="auto"/>
              </w:rPr>
            </w:pPr>
            <w:r>
              <w:rPr>
                <w:rFonts w:hint="eastAsia" w:ascii="宋体" w:hAnsi="宋体" w:cs="宋体"/>
                <w:color w:val="auto"/>
              </w:rPr>
              <w:t>影响评价符合性分析</w:t>
            </w:r>
          </w:p>
        </w:tc>
        <w:tc>
          <w:tcPr>
            <w:tcW w:w="7156" w:type="dxa"/>
            <w:gridSpan w:val="3"/>
            <w:vAlign w:val="center"/>
          </w:tcPr>
          <w:p w14:paraId="063D8D15">
            <w:pPr>
              <w:pStyle w:val="95"/>
              <w:spacing w:line="360" w:lineRule="auto"/>
              <w:ind w:firstLine="0" w:firstLineChars="0"/>
              <w:jc w:val="center"/>
              <w:rPr>
                <w:color w:val="auto"/>
              </w:rPr>
            </w:pPr>
            <w:r>
              <w:rPr>
                <w:rFonts w:hint="eastAsia"/>
                <w:color w:val="auto"/>
                <w:sz w:val="21"/>
                <w:szCs w:val="21"/>
              </w:rPr>
              <w:t>无</w:t>
            </w:r>
          </w:p>
        </w:tc>
      </w:tr>
      <w:tr w14:paraId="546308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14" w:type="dxa"/>
            <w:vAlign w:val="center"/>
          </w:tcPr>
          <w:p w14:paraId="29FB55FB">
            <w:pPr>
              <w:autoSpaceDE w:val="0"/>
              <w:autoSpaceDN w:val="0"/>
              <w:adjustRightInd w:val="0"/>
              <w:snapToGrid w:val="0"/>
              <w:jc w:val="center"/>
              <w:rPr>
                <w:rFonts w:ascii="宋体" w:hAnsi="宋体" w:cs="宋体"/>
                <w:color w:val="auto"/>
              </w:rPr>
            </w:pPr>
            <w:r>
              <w:rPr>
                <w:rFonts w:hint="eastAsia" w:ascii="宋体" w:hAnsi="宋体" w:cs="宋体"/>
                <w:color w:val="auto"/>
              </w:rPr>
              <w:t>其他符合性分析</w:t>
            </w:r>
          </w:p>
        </w:tc>
        <w:tc>
          <w:tcPr>
            <w:tcW w:w="7156" w:type="dxa"/>
            <w:gridSpan w:val="3"/>
            <w:vAlign w:val="center"/>
          </w:tcPr>
          <w:p w14:paraId="70BBD8B2">
            <w:pPr>
              <w:autoSpaceDE w:val="0"/>
              <w:autoSpaceDN w:val="0"/>
              <w:adjustRightInd w:val="0"/>
              <w:snapToGrid w:val="0"/>
              <w:spacing w:beforeLines="50" w:line="312" w:lineRule="auto"/>
              <w:rPr>
                <w:rFonts w:hAnsi="宋体"/>
                <w:color w:val="auto"/>
              </w:rPr>
            </w:pPr>
            <w:r>
              <w:rPr>
                <w:rFonts w:hint="eastAsia" w:hAnsi="宋体"/>
                <w:color w:val="auto"/>
              </w:rPr>
              <w:t>1、</w:t>
            </w:r>
            <w:r>
              <w:rPr>
                <w:rFonts w:hAnsi="宋体"/>
                <w:color w:val="auto"/>
              </w:rPr>
              <w:t>产业政策相符性分析</w:t>
            </w:r>
          </w:p>
          <w:p w14:paraId="4D0C26C9">
            <w:pPr>
              <w:autoSpaceDE w:val="0"/>
              <w:autoSpaceDN w:val="0"/>
              <w:adjustRightInd w:val="0"/>
              <w:snapToGrid w:val="0"/>
              <w:spacing w:line="360" w:lineRule="auto"/>
              <w:ind w:firstLine="420" w:firstLineChars="200"/>
              <w:jc w:val="left"/>
              <w:rPr>
                <w:color w:val="auto"/>
              </w:rPr>
            </w:pPr>
            <w:r>
              <w:rPr>
                <w:rFonts w:hint="eastAsia"/>
                <w:color w:val="auto"/>
              </w:rPr>
              <w:t>本项目不属于中华人民共和国国家发改委《产业结构调整指导目录（2024年本）》中规定的禁止类和淘汰项目，属于允许类，采用的工艺、设备和产品均不在国家经贸委公布的《淘汰落后生产能力、工艺和产品的目录（第一、二、三批）》范围”，项目的建设符合国家和地方的产业政策要求。</w:t>
            </w:r>
          </w:p>
          <w:p w14:paraId="4E1F6E2F">
            <w:pPr>
              <w:autoSpaceDE w:val="0"/>
              <w:autoSpaceDN w:val="0"/>
              <w:adjustRightInd w:val="0"/>
              <w:snapToGrid w:val="0"/>
              <w:spacing w:line="312" w:lineRule="auto"/>
              <w:rPr>
                <w:rFonts w:hAnsi="宋体"/>
                <w:color w:val="auto"/>
              </w:rPr>
            </w:pPr>
            <w:r>
              <w:rPr>
                <w:rFonts w:hint="eastAsia"/>
                <w:color w:val="auto"/>
              </w:rPr>
              <w:t>2</w:t>
            </w:r>
            <w:r>
              <w:rPr>
                <w:rFonts w:hAnsi="宋体"/>
                <w:color w:val="auto"/>
              </w:rPr>
              <w:t>、与</w:t>
            </w:r>
            <w:r>
              <w:rPr>
                <w:rFonts w:hint="eastAsia" w:hAnsi="宋体"/>
                <w:color w:val="auto"/>
              </w:rPr>
              <w:t xml:space="preserve"> “三线一单”生态环境分区管控的意见符合性分析</w:t>
            </w:r>
          </w:p>
          <w:p w14:paraId="2370D2E8">
            <w:pPr>
              <w:pStyle w:val="55"/>
              <w:tabs>
                <w:tab w:val="left" w:pos="2068"/>
              </w:tabs>
              <w:spacing w:line="360" w:lineRule="auto"/>
              <w:ind w:left="0" w:firstLine="0"/>
              <w:rPr>
                <w:rFonts w:ascii="Times New Roman" w:hAnsi="Times New Roman" w:cs="Times New Roman"/>
                <w:color w:val="auto"/>
                <w:sz w:val="21"/>
                <w:szCs w:val="21"/>
                <w:u w:val="none"/>
              </w:rPr>
            </w:pPr>
            <w:r>
              <w:rPr>
                <w:rFonts w:hint="eastAsia" w:ascii="Times New Roman" w:hAnsi="Times New Roman" w:cs="Times New Roman"/>
                <w:color w:val="auto"/>
                <w:sz w:val="21"/>
                <w:szCs w:val="21"/>
                <w:u w:val="none"/>
              </w:rPr>
              <w:t xml:space="preserve">2.1 </w:t>
            </w:r>
            <w:r>
              <w:rPr>
                <w:rFonts w:ascii="Times New Roman" w:hAnsi="Times New Roman" w:cs="Times New Roman"/>
                <w:color w:val="auto"/>
                <w:sz w:val="21"/>
                <w:szCs w:val="21"/>
                <w:u w:val="none"/>
              </w:rPr>
              <w:t>生态保护红线</w:t>
            </w:r>
          </w:p>
          <w:p w14:paraId="3054DA09">
            <w:pPr>
              <w:spacing w:line="360" w:lineRule="auto"/>
              <w:ind w:firstLine="420" w:firstLineChars="200"/>
              <w:rPr>
                <w:color w:val="auto"/>
              </w:rPr>
            </w:pPr>
            <w:r>
              <w:rPr>
                <w:color w:val="auto"/>
              </w:rPr>
              <w:t>生态保护红线指在生态空间范围内具有特殊重要生态功能、必须强制性严格保护的区域，是保障和维护国家生态安全的底线和生命线，通常包括具有重要水源涵养、生物多样性维护、水土保持、防风固沙、海岸生态稳定等功能的生态功能重要区域，以及水土流失、土地沙化、石漠化、盐渍化等生态环境敏感脆弱区域。</w:t>
            </w:r>
          </w:p>
          <w:p w14:paraId="610B9876">
            <w:pPr>
              <w:pStyle w:val="55"/>
              <w:tabs>
                <w:tab w:val="left" w:pos="2068"/>
              </w:tabs>
              <w:spacing w:line="360" w:lineRule="auto"/>
              <w:ind w:left="0" w:firstLine="0"/>
              <w:rPr>
                <w:rFonts w:ascii="Times New Roman" w:hAnsi="Times New Roman" w:cs="Times New Roman"/>
                <w:color w:val="auto"/>
                <w:sz w:val="21"/>
                <w:szCs w:val="21"/>
                <w:u w:val="none"/>
              </w:rPr>
            </w:pPr>
            <w:r>
              <w:rPr>
                <w:rFonts w:hint="eastAsia" w:ascii="Times New Roman" w:hAnsi="Times New Roman" w:cs="Times New Roman"/>
                <w:color w:val="auto"/>
                <w:sz w:val="21"/>
                <w:szCs w:val="21"/>
                <w:u w:val="none"/>
              </w:rPr>
              <w:t xml:space="preserve">2.2 </w:t>
            </w:r>
            <w:r>
              <w:rPr>
                <w:rFonts w:ascii="Times New Roman" w:hAnsi="Times New Roman" w:cs="Times New Roman"/>
                <w:color w:val="auto"/>
                <w:sz w:val="21"/>
                <w:szCs w:val="21"/>
                <w:u w:val="none"/>
              </w:rPr>
              <w:t>环境质量底线</w:t>
            </w:r>
          </w:p>
          <w:p w14:paraId="093DBFE0">
            <w:pPr>
              <w:spacing w:line="360" w:lineRule="auto"/>
              <w:ind w:firstLine="420" w:firstLineChars="200"/>
              <w:rPr>
                <w:color w:val="auto"/>
              </w:rPr>
            </w:pPr>
            <w:r>
              <w:rPr>
                <w:rFonts w:hint="eastAsia"/>
                <w:color w:val="auto"/>
              </w:rPr>
              <w:t>（1）</w:t>
            </w:r>
            <w:r>
              <w:rPr>
                <w:color w:val="auto"/>
              </w:rPr>
              <w:t>大气环境</w:t>
            </w:r>
          </w:p>
          <w:p w14:paraId="5174C3A7">
            <w:pPr>
              <w:spacing w:line="360" w:lineRule="auto"/>
              <w:ind w:firstLine="420" w:firstLineChars="200"/>
              <w:rPr>
                <w:color w:val="auto"/>
              </w:rPr>
            </w:pPr>
            <w:r>
              <w:rPr>
                <w:color w:val="auto"/>
              </w:rPr>
              <w:t>本项目位于白山市江源区，选址区域为环境空气功能区二类区，执行二级标准要求。根据吉林省生态环境厅公布的《吉林省202</w:t>
            </w:r>
            <w:r>
              <w:rPr>
                <w:rFonts w:hint="eastAsia"/>
                <w:color w:val="auto"/>
              </w:rPr>
              <w:t>3</w:t>
            </w:r>
            <w:r>
              <w:rPr>
                <w:color w:val="auto"/>
              </w:rPr>
              <w:t>年生态环境状况公报》中相关数据</w:t>
            </w:r>
            <w:r>
              <w:rPr>
                <w:color w:val="auto"/>
                <w:kern w:val="8"/>
              </w:rPr>
              <w:t>，202</w:t>
            </w:r>
            <w:r>
              <w:rPr>
                <w:rFonts w:hint="eastAsia"/>
                <w:color w:val="auto"/>
                <w:kern w:val="8"/>
              </w:rPr>
              <w:t>3</w:t>
            </w:r>
            <w:r>
              <w:rPr>
                <w:color w:val="auto"/>
                <w:kern w:val="8"/>
              </w:rPr>
              <w:t>年白山市属于环境空气质量达标区。根据</w:t>
            </w:r>
            <w:r>
              <w:rPr>
                <w:color w:val="auto"/>
              </w:rPr>
              <w:t>环境质量现状监测结果，TSP满足《环境空气质量标准》（GB3095-2012）中二级标准。本项目对各产污环节均采取相应的环保治理措施，可实现达标排放，故不会改变区域环境质量现状，对环境空气影响较小。</w:t>
            </w:r>
          </w:p>
          <w:p w14:paraId="2F64171A">
            <w:pPr>
              <w:spacing w:line="360" w:lineRule="auto"/>
              <w:ind w:firstLine="420" w:firstLineChars="200"/>
              <w:rPr>
                <w:color w:val="auto"/>
              </w:rPr>
            </w:pPr>
            <w:r>
              <w:rPr>
                <w:rFonts w:hint="eastAsia"/>
                <w:color w:val="auto"/>
              </w:rPr>
              <w:t>（2）</w:t>
            </w:r>
            <w:r>
              <w:rPr>
                <w:color w:val="auto"/>
              </w:rPr>
              <w:t>水环境</w:t>
            </w:r>
          </w:p>
          <w:p w14:paraId="42D92427">
            <w:pPr>
              <w:pStyle w:val="99"/>
              <w:ind w:firstLine="420"/>
              <w:jc w:val="left"/>
              <w:rPr>
                <w:rFonts w:ascii="Times New Roman"/>
                <w:color w:val="auto"/>
                <w:sz w:val="21"/>
              </w:rPr>
            </w:pPr>
            <w:r>
              <w:rPr>
                <w:rFonts w:ascii="Times New Roman"/>
                <w:color w:val="auto"/>
                <w:sz w:val="21"/>
              </w:rPr>
              <w:t>根据吉林省生态环境厅发布的202</w:t>
            </w:r>
            <w:r>
              <w:rPr>
                <w:rFonts w:hint="eastAsia" w:ascii="Times New Roman"/>
                <w:color w:val="auto"/>
                <w:sz w:val="21"/>
              </w:rPr>
              <w:t>4</w:t>
            </w:r>
            <w:r>
              <w:rPr>
                <w:rFonts w:ascii="Times New Roman"/>
                <w:color w:val="auto"/>
                <w:sz w:val="21"/>
              </w:rPr>
              <w:t>年</w:t>
            </w:r>
            <w:r>
              <w:rPr>
                <w:rFonts w:hint="eastAsia" w:ascii="Times New Roman"/>
                <w:color w:val="auto"/>
                <w:sz w:val="21"/>
              </w:rPr>
              <w:t>1-7</w:t>
            </w:r>
            <w:r>
              <w:rPr>
                <w:rFonts w:ascii="Times New Roman"/>
                <w:color w:val="auto"/>
                <w:sz w:val="21"/>
              </w:rPr>
              <w:t>月吉林省地表水国控断面水质月报，白山市浑江江源（浑）断面满足《地表水环境质量标准》（GB3838-2002）中的Ⅲ类标准要求。本项目无生产废水排放，生活污水排入防渗旱厕，定期清掏做农肥。故本项目的建设不会突破水环境质量底线。</w:t>
            </w:r>
          </w:p>
          <w:p w14:paraId="1F1643CE">
            <w:pPr>
              <w:spacing w:line="360" w:lineRule="auto"/>
              <w:ind w:firstLine="420" w:firstLineChars="200"/>
              <w:rPr>
                <w:color w:val="auto"/>
              </w:rPr>
            </w:pPr>
            <w:r>
              <w:rPr>
                <w:color w:val="auto"/>
              </w:rPr>
              <w:t>综上，本项目各污染物排放不会突破环境质量底线。</w:t>
            </w:r>
          </w:p>
          <w:p w14:paraId="2D312D22">
            <w:pPr>
              <w:spacing w:line="360" w:lineRule="auto"/>
              <w:rPr>
                <w:color w:val="auto"/>
              </w:rPr>
            </w:pPr>
            <w:r>
              <w:rPr>
                <w:rFonts w:hint="eastAsia"/>
                <w:color w:val="auto"/>
              </w:rPr>
              <w:t>2.3</w:t>
            </w:r>
            <w:r>
              <w:rPr>
                <w:color w:val="auto"/>
              </w:rPr>
              <w:t>资源利用上线</w:t>
            </w:r>
          </w:p>
          <w:p w14:paraId="436731E7">
            <w:pPr>
              <w:spacing w:line="360" w:lineRule="auto"/>
              <w:ind w:firstLine="420" w:firstLineChars="200"/>
              <w:rPr>
                <w:color w:val="auto"/>
              </w:rPr>
            </w:pPr>
            <w:r>
              <w:rPr>
                <w:color w:val="auto"/>
              </w:rPr>
              <w:t>本项目运营期过程中消耗一定量的电能、水等资源，项目所在区域能源、水资源充足，项目占地</w:t>
            </w:r>
            <w:r>
              <w:rPr>
                <w:rFonts w:hint="eastAsia"/>
                <w:color w:val="auto"/>
              </w:rPr>
              <w:t>性质</w:t>
            </w:r>
            <w:r>
              <w:rPr>
                <w:color w:val="auto"/>
              </w:rPr>
              <w:t>为</w:t>
            </w:r>
            <w:r>
              <w:rPr>
                <w:rFonts w:hint="eastAsia" w:cs="宋体"/>
                <w:color w:val="auto"/>
              </w:rPr>
              <w:t>工业用地，租用现有厂区进行生产，不新增占地</w:t>
            </w:r>
            <w:r>
              <w:rPr>
                <w:color w:val="auto"/>
              </w:rPr>
              <w:t>，不会突破资源利用上线。</w:t>
            </w:r>
          </w:p>
          <w:p w14:paraId="11E48AB8">
            <w:pPr>
              <w:autoSpaceDE w:val="0"/>
              <w:autoSpaceDN w:val="0"/>
              <w:adjustRightInd w:val="0"/>
              <w:snapToGrid w:val="0"/>
              <w:spacing w:line="360" w:lineRule="auto"/>
              <w:rPr>
                <w:color w:val="auto"/>
              </w:rPr>
            </w:pPr>
            <w:r>
              <w:rPr>
                <w:rFonts w:hint="eastAsia"/>
                <w:color w:val="auto"/>
              </w:rPr>
              <w:t>2.4</w:t>
            </w:r>
            <w:r>
              <w:rPr>
                <w:rFonts w:hint="eastAsia"/>
                <w:color w:val="auto"/>
                <w:lang w:val="en-US" w:eastAsia="zh-CN"/>
              </w:rPr>
              <w:t xml:space="preserve"> </w:t>
            </w:r>
            <w:r>
              <w:rPr>
                <w:color w:val="auto"/>
              </w:rPr>
              <w:t>生态环境准入清单</w:t>
            </w:r>
          </w:p>
          <w:p w14:paraId="6406B1E6">
            <w:pPr>
              <w:autoSpaceDE w:val="0"/>
              <w:autoSpaceDN w:val="0"/>
              <w:adjustRightInd w:val="0"/>
              <w:snapToGrid w:val="0"/>
              <w:spacing w:line="360" w:lineRule="auto"/>
              <w:ind w:firstLine="420" w:firstLineChars="200"/>
              <w:rPr>
                <w:rFonts w:ascii="宋体" w:hAnsi="宋体"/>
                <w:i/>
                <w:iCs/>
                <w:color w:val="auto"/>
                <w:highlight w:val="none"/>
                <w:u w:val="single" w:color="auto"/>
              </w:rPr>
            </w:pPr>
            <w:r>
              <w:rPr>
                <w:rFonts w:hint="default" w:ascii="Times New Roman" w:hAnsi="Times New Roman" w:cs="Times New Roman"/>
                <w:i/>
                <w:iCs/>
                <w:color w:val="auto"/>
                <w:highlight w:val="none"/>
                <w:u w:val="single" w:color="auto"/>
              </w:rPr>
              <w:t>（1）与吉</w:t>
            </w:r>
            <w:r>
              <w:rPr>
                <w:rFonts w:hint="eastAsia" w:ascii="宋体" w:hAnsi="宋体"/>
                <w:i/>
                <w:iCs/>
                <w:color w:val="auto"/>
                <w:highlight w:val="none"/>
                <w:u w:val="single" w:color="auto"/>
              </w:rPr>
              <w:t>林省生态环境准入清单符合性分析</w:t>
            </w:r>
          </w:p>
          <w:p w14:paraId="6E417285">
            <w:pPr>
              <w:autoSpaceDE w:val="0"/>
              <w:autoSpaceDN w:val="0"/>
              <w:adjustRightInd w:val="0"/>
              <w:snapToGrid w:val="0"/>
              <w:spacing w:line="360" w:lineRule="auto"/>
              <w:ind w:firstLine="420" w:firstLineChars="200"/>
              <w:rPr>
                <w:i/>
                <w:iCs/>
                <w:color w:val="auto"/>
                <w:kern w:val="2"/>
                <w:u w:val="single" w:color="auto"/>
              </w:rPr>
            </w:pPr>
            <w:r>
              <w:rPr>
                <w:rFonts w:hint="eastAsia"/>
                <w:i/>
                <w:iCs/>
                <w:color w:val="auto"/>
                <w:highlight w:val="none"/>
                <w:u w:val="single" w:color="auto"/>
              </w:rPr>
              <w:t>根据《中共吉林省委办公厅吉林省人民政府办公厅印发&lt;关于加强生态环境分区管控的若干措施&gt;的通知》（吉办发[2024)]12号），</w:t>
            </w:r>
            <w:r>
              <w:rPr>
                <w:rFonts w:hint="eastAsia"/>
                <w:i/>
                <w:iCs/>
                <w:color w:val="auto"/>
                <w:kern w:val="2"/>
                <w:highlight w:val="none"/>
                <w:u w:val="single" w:color="auto"/>
              </w:rPr>
              <w:t>全省共划定1233个环境管控单元，包括优先保护单元、重点管控单元和一般管控单元三类，</w:t>
            </w:r>
            <w:r>
              <w:rPr>
                <w:rFonts w:hint="eastAsia"/>
                <w:i/>
                <w:iCs/>
                <w:color w:val="auto"/>
                <w:kern w:val="2"/>
                <w:u w:val="single" w:color="auto"/>
              </w:rPr>
              <w:t>环境管控单元内开发建设活动实施差异化管理。优先保护单元772个，面积占比61.78%。主要包括生态保护红线、自然保护地、饮用水水源保护区、黑土地及其他生态功能重要区和生态环境敏感区。优先保护单元按照法律法规和有关规定禁止或者严格限制大规模、高强度的工业和城镇开发建设。强化生态保护红线监管，规范管控生态保护红线内有限人为活动。生态保护红线外各类生态功能重要和生态敏感脆弱区域、水环境优先保护区、大气环境优先保护区和黑土地保护区，按照保护对象不同属性和功能要求，限制大规模开发性、生产性建设活动。功能受损的优先保护单元，优先开展生态保护修复活动，恢复生态系统服务功能。重点管控单元404个，面积占比16.98%。主要包括各类产业园区、工业集聚区、城镇开发边界内等生态环境质量改善压力大，资源能源消耗强度高、污染物排放集中、环境风险高的区域及生态环境问题相对集中的区域。重点管控单元严格按照法律法规和有关规定，以及差别化的生态环境准入要求，加强污染物排放控制和环境风险防控，不断提升资源利用效率，稳步改善生态环境质量。水环境重点管控区、大气环境重点管控区和土壤污染风险重点管控区应当按照管控对象不同属性和功能分类实施重点管控。一般管控单元57个，面积占比21.24%，为优先保护单元、重点管控单元以外的区域。一般管控单元以经济社会可持续发展为导向，执行生态环境保护的基本要求。</w:t>
            </w:r>
          </w:p>
          <w:p w14:paraId="57BE538C">
            <w:pPr>
              <w:pStyle w:val="80"/>
              <w:spacing w:line="240" w:lineRule="auto"/>
              <w:ind w:firstLine="420"/>
              <w:jc w:val="center"/>
              <w:rPr>
                <w:rFonts w:hint="eastAsia" w:cs="Times New Roman"/>
                <w:i/>
                <w:iCs/>
                <w:color w:val="auto"/>
                <w:u w:val="single" w:color="auto"/>
              </w:rPr>
            </w:pPr>
            <w:r>
              <w:rPr>
                <w:rFonts w:hint="eastAsia" w:cs="Times New Roman"/>
                <w:i/>
                <w:iCs/>
                <w:color w:val="auto"/>
                <w:highlight w:val="yellow"/>
                <w:u w:val="single" w:color="auto"/>
              </w:rPr>
              <w:t>吉林省生态准入清单符合性分析一览表</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0"/>
              <w:gridCol w:w="4954"/>
              <w:gridCol w:w="1146"/>
            </w:tblGrid>
            <w:tr w14:paraId="51C8FC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605" w:type="pct"/>
                  <w:tcBorders>
                    <w:tl2br w:val="nil"/>
                    <w:tr2bl w:val="nil"/>
                  </w:tcBorders>
                  <w:vAlign w:val="center"/>
                </w:tcPr>
                <w:p w14:paraId="1DF2F98E">
                  <w:pPr>
                    <w:pStyle w:val="33"/>
                    <w:jc w:val="center"/>
                    <w:rPr>
                      <w:rFonts w:ascii="Times New Roman" w:hAnsi="Times New Roman" w:eastAsia="宋体" w:cs="Times New Roman"/>
                      <w:i w:val="0"/>
                      <w:iCs w:val="0"/>
                      <w:color w:val="auto"/>
                      <w:sz w:val="18"/>
                      <w:szCs w:val="18"/>
                      <w:highlight w:val="yellow"/>
                      <w:u w:val="none" w:color="auto"/>
                      <w:lang w:val="en-US" w:eastAsia="zh-CN" w:bidi="ar-SA"/>
                    </w:rPr>
                  </w:pPr>
                  <w:r>
                    <w:rPr>
                      <w:rFonts w:ascii="Times New Roman" w:hAnsi="Times New Roman" w:eastAsia="宋体" w:cs="Times New Roman"/>
                      <w:i w:val="0"/>
                      <w:iCs w:val="0"/>
                      <w:color w:val="auto"/>
                      <w:sz w:val="18"/>
                      <w:szCs w:val="18"/>
                      <w:highlight w:val="yellow"/>
                      <w:u w:val="none" w:color="auto"/>
                      <w:lang w:val="en-US" w:eastAsia="zh-CN" w:bidi="ar-SA"/>
                    </w:rPr>
                    <w:t>管控</w:t>
                  </w:r>
                </w:p>
                <w:p w14:paraId="460E3052">
                  <w:pPr>
                    <w:pStyle w:val="33"/>
                    <w:jc w:val="center"/>
                    <w:rPr>
                      <w:rFonts w:ascii="Times New Roman" w:hAnsi="Times New Roman" w:eastAsia="宋体" w:cs="Times New Roman"/>
                      <w:i w:val="0"/>
                      <w:iCs w:val="0"/>
                      <w:color w:val="auto"/>
                      <w:sz w:val="18"/>
                      <w:szCs w:val="18"/>
                      <w:highlight w:val="yellow"/>
                      <w:u w:val="none" w:color="auto"/>
                      <w:lang w:val="en-US" w:eastAsia="zh-CN" w:bidi="ar-SA"/>
                    </w:rPr>
                  </w:pPr>
                  <w:r>
                    <w:rPr>
                      <w:rFonts w:ascii="Times New Roman" w:hAnsi="Times New Roman" w:eastAsia="宋体" w:cs="Times New Roman"/>
                      <w:i w:val="0"/>
                      <w:iCs w:val="0"/>
                      <w:color w:val="auto"/>
                      <w:sz w:val="18"/>
                      <w:szCs w:val="18"/>
                      <w:highlight w:val="yellow"/>
                      <w:u w:val="none" w:color="auto"/>
                      <w:lang w:val="en-US" w:eastAsia="zh-CN" w:bidi="ar-SA"/>
                    </w:rPr>
                    <w:t>领域</w:t>
                  </w:r>
                </w:p>
              </w:tc>
              <w:tc>
                <w:tcPr>
                  <w:tcW w:w="3569" w:type="pct"/>
                  <w:tcBorders>
                    <w:tl2br w:val="nil"/>
                    <w:tr2bl w:val="nil"/>
                  </w:tcBorders>
                  <w:vAlign w:val="center"/>
                </w:tcPr>
                <w:p w14:paraId="576170CA">
                  <w:pPr>
                    <w:pStyle w:val="33"/>
                    <w:jc w:val="center"/>
                    <w:rPr>
                      <w:rFonts w:ascii="Times New Roman" w:hAnsi="Times New Roman" w:eastAsia="宋体" w:cs="Times New Roman"/>
                      <w:i w:val="0"/>
                      <w:iCs w:val="0"/>
                      <w:color w:val="auto"/>
                      <w:sz w:val="18"/>
                      <w:szCs w:val="18"/>
                      <w:highlight w:val="yellow"/>
                      <w:u w:val="none" w:color="auto"/>
                      <w:lang w:val="en-US" w:eastAsia="zh-CN" w:bidi="ar-SA"/>
                    </w:rPr>
                  </w:pPr>
                  <w:r>
                    <w:rPr>
                      <w:rFonts w:ascii="Times New Roman" w:hAnsi="Times New Roman" w:eastAsia="宋体" w:cs="Times New Roman"/>
                      <w:i w:val="0"/>
                      <w:iCs w:val="0"/>
                      <w:color w:val="auto"/>
                      <w:sz w:val="18"/>
                      <w:szCs w:val="18"/>
                      <w:highlight w:val="yellow"/>
                      <w:u w:val="none" w:color="auto"/>
                      <w:lang w:val="en-US" w:eastAsia="zh-CN" w:bidi="ar-SA"/>
                    </w:rPr>
                    <w:t>环境准入及管控要求</w:t>
                  </w:r>
                </w:p>
              </w:tc>
              <w:tc>
                <w:tcPr>
                  <w:tcW w:w="825" w:type="pct"/>
                  <w:tcBorders>
                    <w:tl2br w:val="nil"/>
                    <w:tr2bl w:val="nil"/>
                  </w:tcBorders>
                  <w:vAlign w:val="center"/>
                </w:tcPr>
                <w:p w14:paraId="6681C96F">
                  <w:pPr>
                    <w:pStyle w:val="33"/>
                    <w:jc w:val="center"/>
                    <w:rPr>
                      <w:rFonts w:hint="default" w:ascii="Times New Roman" w:hAnsi="Times New Roman" w:eastAsia="宋体" w:cs="Times New Roman"/>
                      <w:i w:val="0"/>
                      <w:iCs w:val="0"/>
                      <w:color w:val="auto"/>
                      <w:sz w:val="18"/>
                      <w:szCs w:val="18"/>
                      <w:highlight w:val="yellow"/>
                      <w:u w:val="none" w:color="auto"/>
                      <w:lang w:val="en-US" w:eastAsia="zh-CN" w:bidi="ar-SA"/>
                    </w:rPr>
                  </w:pPr>
                  <w:r>
                    <w:rPr>
                      <w:rFonts w:hint="eastAsia" w:ascii="Times New Roman" w:hAnsi="Times New Roman" w:eastAsia="宋体" w:cs="Times New Roman"/>
                      <w:i w:val="0"/>
                      <w:iCs w:val="0"/>
                      <w:color w:val="auto"/>
                      <w:sz w:val="18"/>
                      <w:szCs w:val="18"/>
                      <w:highlight w:val="yellow"/>
                      <w:u w:val="none" w:color="auto"/>
                      <w:lang w:val="en-US" w:eastAsia="zh-CN" w:bidi="ar-SA"/>
                    </w:rPr>
                    <w:t>符合性分析</w:t>
                  </w:r>
                </w:p>
              </w:tc>
            </w:tr>
            <w:tr w14:paraId="6A3079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5000" w:type="pct"/>
                  <w:gridSpan w:val="3"/>
                  <w:tcBorders>
                    <w:tl2br w:val="nil"/>
                    <w:tr2bl w:val="nil"/>
                  </w:tcBorders>
                  <w:vAlign w:val="center"/>
                </w:tcPr>
                <w:p w14:paraId="5BCB2D6A">
                  <w:pPr>
                    <w:pStyle w:val="33"/>
                    <w:jc w:val="center"/>
                    <w:rPr>
                      <w:rFonts w:ascii="Times New Roman" w:hAnsi="Times New Roman" w:eastAsia="宋体" w:cs="Times New Roman"/>
                      <w:i w:val="0"/>
                      <w:iCs w:val="0"/>
                      <w:color w:val="auto"/>
                      <w:sz w:val="18"/>
                      <w:szCs w:val="18"/>
                      <w:highlight w:val="yellow"/>
                      <w:u w:val="none" w:color="auto"/>
                      <w:lang w:val="en-US" w:eastAsia="zh-CN" w:bidi="ar-SA"/>
                    </w:rPr>
                  </w:pPr>
                  <w:bookmarkStart w:id="2" w:name="_Toc41139284"/>
                  <w:r>
                    <w:rPr>
                      <w:rFonts w:ascii="Times New Roman" w:hAnsi="Times New Roman" w:eastAsia="宋体" w:cs="Times New Roman"/>
                      <w:i w:val="0"/>
                      <w:iCs w:val="0"/>
                      <w:color w:val="auto"/>
                      <w:sz w:val="18"/>
                      <w:szCs w:val="18"/>
                      <w:highlight w:val="yellow"/>
                      <w:u w:val="none" w:color="auto"/>
                      <w:lang w:val="en-US" w:eastAsia="zh-CN" w:bidi="ar-SA"/>
                    </w:rPr>
                    <w:t>一、全省总体准入要求</w:t>
                  </w:r>
                  <w:bookmarkEnd w:id="2"/>
                </w:p>
              </w:tc>
            </w:tr>
            <w:tr w14:paraId="5BE5DC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605" w:type="pct"/>
                  <w:vMerge w:val="restart"/>
                  <w:tcBorders>
                    <w:tl2br w:val="nil"/>
                    <w:tr2bl w:val="nil"/>
                  </w:tcBorders>
                  <w:vAlign w:val="center"/>
                </w:tcPr>
                <w:p w14:paraId="7F1DC192">
                  <w:pPr>
                    <w:pStyle w:val="33"/>
                    <w:jc w:val="center"/>
                    <w:rPr>
                      <w:rFonts w:ascii="Times New Roman" w:hAnsi="Times New Roman" w:eastAsia="宋体" w:cs="Times New Roman"/>
                      <w:i w:val="0"/>
                      <w:iCs w:val="0"/>
                      <w:color w:val="auto"/>
                      <w:sz w:val="18"/>
                      <w:szCs w:val="18"/>
                      <w:highlight w:val="yellow"/>
                      <w:u w:val="none" w:color="auto"/>
                      <w:lang w:val="en-US" w:eastAsia="zh-CN" w:bidi="ar-SA"/>
                    </w:rPr>
                  </w:pPr>
                  <w:r>
                    <w:rPr>
                      <w:rFonts w:ascii="Times New Roman" w:hAnsi="Times New Roman" w:eastAsia="宋体" w:cs="Times New Roman"/>
                      <w:i w:val="0"/>
                      <w:iCs w:val="0"/>
                      <w:color w:val="auto"/>
                      <w:sz w:val="18"/>
                      <w:szCs w:val="18"/>
                      <w:highlight w:val="yellow"/>
                      <w:u w:val="none" w:color="auto"/>
                      <w:lang w:val="en-US" w:eastAsia="zh-CN" w:bidi="ar-SA"/>
                    </w:rPr>
                    <w:t>空间布局约束</w:t>
                  </w:r>
                </w:p>
              </w:tc>
              <w:tc>
                <w:tcPr>
                  <w:tcW w:w="3569" w:type="pct"/>
                  <w:tcBorders>
                    <w:tl2br w:val="nil"/>
                    <w:tr2bl w:val="nil"/>
                  </w:tcBorders>
                  <w:vAlign w:val="center"/>
                </w:tcPr>
                <w:p w14:paraId="39032DC4">
                  <w:pPr>
                    <w:pStyle w:val="33"/>
                    <w:adjustRightInd w:val="0"/>
                    <w:snapToGrid w:val="0"/>
                    <w:jc w:val="left"/>
                    <w:rPr>
                      <w:rFonts w:ascii="Times New Roman" w:hAnsi="Times New Roman" w:eastAsia="宋体" w:cs="Times New Roman"/>
                      <w:i w:val="0"/>
                      <w:iCs w:val="0"/>
                      <w:color w:val="auto"/>
                      <w:sz w:val="18"/>
                      <w:szCs w:val="18"/>
                      <w:highlight w:val="yellow"/>
                      <w:u w:val="none" w:color="auto"/>
                      <w:lang w:val="en-US" w:eastAsia="zh-CN" w:bidi="ar-SA"/>
                    </w:rPr>
                  </w:pPr>
                  <w:r>
                    <w:rPr>
                      <w:rFonts w:ascii="Times New Roman" w:hAnsi="Times New Roman" w:eastAsia="宋体" w:cs="Times New Roman"/>
                      <w:i w:val="0"/>
                      <w:iCs w:val="0"/>
                      <w:color w:val="auto"/>
                      <w:sz w:val="18"/>
                      <w:szCs w:val="18"/>
                      <w:highlight w:val="yellow"/>
                      <w:u w:val="none" w:color="auto"/>
                      <w:lang w:val="en-US" w:eastAsia="zh-CN" w:bidi="ar-SA"/>
                    </w:rPr>
                    <w:t>禁止新建、扩建《产业结构调整指导日录》（现行）明确的淘汰类项目和引入《市场准入负面清单》</w:t>
                  </w:r>
                  <w:r>
                    <w:rPr>
                      <w:rFonts w:hint="eastAsia" w:ascii="Times New Roman" w:hAnsi="Times New Roman" w:eastAsia="宋体" w:cs="Times New Roman"/>
                      <w:i w:val="0"/>
                      <w:iCs w:val="0"/>
                      <w:color w:val="auto"/>
                      <w:sz w:val="18"/>
                      <w:szCs w:val="18"/>
                      <w:highlight w:val="yellow"/>
                      <w:u w:val="none" w:color="auto"/>
                      <w:lang w:val="en-US" w:eastAsia="zh-CN" w:bidi="ar-SA"/>
                    </w:rPr>
                    <w:t>（</w:t>
                  </w:r>
                  <w:r>
                    <w:rPr>
                      <w:rFonts w:ascii="Times New Roman" w:hAnsi="Times New Roman" w:eastAsia="宋体" w:cs="Times New Roman"/>
                      <w:i w:val="0"/>
                      <w:iCs w:val="0"/>
                      <w:color w:val="auto"/>
                      <w:sz w:val="18"/>
                      <w:szCs w:val="18"/>
                      <w:highlight w:val="yellow"/>
                      <w:u w:val="none" w:color="auto"/>
                      <w:lang w:val="en-US" w:eastAsia="zh-CN" w:bidi="ar-SA"/>
                    </w:rPr>
                    <w:t>现行</w:t>
                  </w:r>
                  <w:r>
                    <w:rPr>
                      <w:rFonts w:hint="eastAsia" w:ascii="Times New Roman" w:hAnsi="Times New Roman" w:eastAsia="宋体" w:cs="Times New Roman"/>
                      <w:i w:val="0"/>
                      <w:iCs w:val="0"/>
                      <w:color w:val="auto"/>
                      <w:sz w:val="18"/>
                      <w:szCs w:val="18"/>
                      <w:highlight w:val="yellow"/>
                      <w:u w:val="none" w:color="auto"/>
                      <w:lang w:val="en-US" w:eastAsia="zh-CN" w:bidi="ar-SA"/>
                    </w:rPr>
                    <w:t>）</w:t>
                  </w:r>
                  <w:r>
                    <w:rPr>
                      <w:rFonts w:ascii="Times New Roman" w:hAnsi="Times New Roman" w:eastAsia="宋体" w:cs="Times New Roman"/>
                      <w:i w:val="0"/>
                      <w:iCs w:val="0"/>
                      <w:color w:val="auto"/>
                      <w:sz w:val="18"/>
                      <w:szCs w:val="18"/>
                      <w:highlight w:val="yellow"/>
                      <w:u w:val="none" w:color="auto"/>
                      <w:lang w:val="en-US" w:eastAsia="zh-CN" w:bidi="ar-SA"/>
                    </w:rPr>
                    <w:t>禁止准入类事项，引入项目应符合园区规划、规划环境影响评价和区域产业准入负面清单要求。</w:t>
                  </w:r>
                </w:p>
                <w:p w14:paraId="57F1791F">
                  <w:pPr>
                    <w:pStyle w:val="33"/>
                    <w:adjustRightInd w:val="0"/>
                    <w:snapToGrid w:val="0"/>
                    <w:jc w:val="left"/>
                    <w:rPr>
                      <w:rFonts w:ascii="Times New Roman" w:hAnsi="Times New Roman" w:eastAsia="宋体" w:cs="Times New Roman"/>
                      <w:i w:val="0"/>
                      <w:iCs w:val="0"/>
                      <w:color w:val="auto"/>
                      <w:sz w:val="18"/>
                      <w:szCs w:val="18"/>
                      <w:highlight w:val="yellow"/>
                      <w:u w:val="none" w:color="auto"/>
                      <w:lang w:val="en-US" w:eastAsia="zh-CN" w:bidi="ar-SA"/>
                    </w:rPr>
                  </w:pPr>
                  <w:r>
                    <w:rPr>
                      <w:rFonts w:ascii="Times New Roman" w:hAnsi="Times New Roman" w:eastAsia="宋体" w:cs="Times New Roman"/>
                      <w:i w:val="0"/>
                      <w:iCs w:val="0"/>
                      <w:color w:val="auto"/>
                      <w:sz w:val="18"/>
                      <w:szCs w:val="18"/>
                      <w:highlight w:val="yellow"/>
                      <w:u w:val="none" w:color="auto"/>
                      <w:lang w:val="en-US" w:eastAsia="zh-CN" w:bidi="ar-SA"/>
                    </w:rPr>
                    <w:t>列入《产业结构调整指导目录》淘汰类的现状企业，应制定调整计划。生态环境治理措施不符合现行生态环境保护要求、资源能源消耗高、涉及大量排放区域超标污染物的现有企业，应制定整治计划。在调整、整治过渡期内，应严格控制相关企业生产规模，禁止新增产生环境污染的产能和产品。</w:t>
                  </w:r>
                </w:p>
              </w:tc>
              <w:tc>
                <w:tcPr>
                  <w:tcW w:w="825" w:type="pct"/>
                  <w:tcBorders>
                    <w:tl2br w:val="nil"/>
                    <w:tr2bl w:val="nil"/>
                  </w:tcBorders>
                  <w:vAlign w:val="center"/>
                </w:tcPr>
                <w:p w14:paraId="2391CD2C">
                  <w:pPr>
                    <w:pStyle w:val="33"/>
                    <w:adjustRightInd w:val="0"/>
                    <w:snapToGrid w:val="0"/>
                    <w:rPr>
                      <w:rFonts w:ascii="Times New Roman" w:hAnsi="Times New Roman" w:eastAsia="宋体" w:cs="Times New Roman"/>
                      <w:i w:val="0"/>
                      <w:iCs w:val="0"/>
                      <w:color w:val="auto"/>
                      <w:sz w:val="18"/>
                      <w:szCs w:val="18"/>
                      <w:highlight w:val="yellow"/>
                      <w:u w:val="none" w:color="auto"/>
                      <w:lang w:val="en-US" w:eastAsia="zh-CN" w:bidi="ar-SA"/>
                    </w:rPr>
                  </w:pPr>
                  <w:r>
                    <w:rPr>
                      <w:rFonts w:ascii="Times New Roman" w:hAnsi="Times New Roman" w:eastAsia="宋体" w:cs="Times New Roman"/>
                      <w:i w:val="0"/>
                      <w:iCs w:val="0"/>
                      <w:color w:val="auto"/>
                      <w:sz w:val="18"/>
                      <w:szCs w:val="18"/>
                      <w:highlight w:val="yellow"/>
                      <w:u w:val="none" w:color="auto"/>
                      <w:lang w:val="en-US" w:eastAsia="zh-CN" w:bidi="ar-SA"/>
                    </w:rPr>
                    <w:t>本项目</w:t>
                  </w:r>
                  <w:r>
                    <w:rPr>
                      <w:rFonts w:hint="eastAsia" w:ascii="Times New Roman" w:hAnsi="Times New Roman" w:eastAsia="宋体" w:cs="Times New Roman"/>
                      <w:i w:val="0"/>
                      <w:iCs w:val="0"/>
                      <w:color w:val="auto"/>
                      <w:sz w:val="18"/>
                      <w:szCs w:val="18"/>
                      <w:highlight w:val="yellow"/>
                      <w:u w:val="none" w:color="auto"/>
                      <w:lang w:val="en-US" w:eastAsia="zh-CN" w:bidi="ar-SA"/>
                    </w:rPr>
                    <w:t>不</w:t>
                  </w:r>
                  <w:r>
                    <w:rPr>
                      <w:rFonts w:ascii="Times New Roman" w:hAnsi="Times New Roman" w:eastAsia="宋体" w:cs="Times New Roman"/>
                      <w:i w:val="0"/>
                      <w:iCs w:val="0"/>
                      <w:color w:val="auto"/>
                      <w:sz w:val="18"/>
                      <w:szCs w:val="18"/>
                      <w:highlight w:val="yellow"/>
                      <w:u w:val="none" w:color="auto"/>
                      <w:lang w:val="en-US" w:eastAsia="zh-CN" w:bidi="ar-SA"/>
                    </w:rPr>
                    <w:t>属于《产业结构调整指导目录（20</w:t>
                  </w:r>
                  <w:r>
                    <w:rPr>
                      <w:rFonts w:hint="eastAsia" w:ascii="Times New Roman" w:hAnsi="Times New Roman" w:eastAsia="宋体" w:cs="Times New Roman"/>
                      <w:i w:val="0"/>
                      <w:iCs w:val="0"/>
                      <w:color w:val="auto"/>
                      <w:sz w:val="18"/>
                      <w:szCs w:val="18"/>
                      <w:highlight w:val="yellow"/>
                      <w:u w:val="none" w:color="auto"/>
                      <w:lang w:val="en-US" w:eastAsia="zh-CN" w:bidi="ar-SA"/>
                    </w:rPr>
                    <w:t>24</w:t>
                  </w:r>
                  <w:r>
                    <w:rPr>
                      <w:rFonts w:ascii="Times New Roman" w:hAnsi="Times New Roman" w:eastAsia="宋体" w:cs="Times New Roman"/>
                      <w:i w:val="0"/>
                      <w:iCs w:val="0"/>
                      <w:color w:val="auto"/>
                      <w:sz w:val="18"/>
                      <w:szCs w:val="18"/>
                      <w:highlight w:val="yellow"/>
                      <w:u w:val="none" w:color="auto"/>
                      <w:lang w:val="en-US" w:eastAsia="zh-CN" w:bidi="ar-SA"/>
                    </w:rPr>
                    <w:t>年本）》中</w:t>
                  </w:r>
                  <w:r>
                    <w:rPr>
                      <w:rFonts w:hint="eastAsia" w:ascii="Times New Roman" w:hAnsi="Times New Roman" w:eastAsia="宋体" w:cs="Times New Roman"/>
                      <w:i w:val="0"/>
                      <w:iCs w:val="0"/>
                      <w:color w:val="auto"/>
                      <w:sz w:val="18"/>
                      <w:szCs w:val="18"/>
                      <w:highlight w:val="yellow"/>
                      <w:u w:val="none" w:color="auto"/>
                      <w:lang w:val="en-US" w:eastAsia="zh-CN" w:bidi="ar-SA"/>
                    </w:rPr>
                    <w:t>限制类和淘汰类，属于允许类项目</w:t>
                  </w:r>
                  <w:r>
                    <w:rPr>
                      <w:rFonts w:ascii="Times New Roman" w:hAnsi="Times New Roman" w:eastAsia="宋体" w:cs="Times New Roman"/>
                      <w:i w:val="0"/>
                      <w:iCs w:val="0"/>
                      <w:color w:val="auto"/>
                      <w:sz w:val="18"/>
                      <w:szCs w:val="18"/>
                      <w:highlight w:val="yellow"/>
                      <w:u w:val="none" w:color="auto"/>
                      <w:lang w:val="en-US" w:eastAsia="zh-CN" w:bidi="ar-SA"/>
                    </w:rPr>
                    <w:t>，项目建设符合国家产业政策。</w:t>
                  </w:r>
                </w:p>
              </w:tc>
            </w:tr>
            <w:tr w14:paraId="49CEC9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605" w:type="pct"/>
                  <w:vMerge w:val="continue"/>
                  <w:tcBorders>
                    <w:tl2br w:val="nil"/>
                    <w:tr2bl w:val="nil"/>
                  </w:tcBorders>
                  <w:vAlign w:val="center"/>
                </w:tcPr>
                <w:p w14:paraId="5E9AE3EC">
                  <w:pPr>
                    <w:pStyle w:val="33"/>
                    <w:jc w:val="center"/>
                    <w:rPr>
                      <w:rFonts w:ascii="Times New Roman" w:hAnsi="Times New Roman" w:eastAsia="宋体" w:cs="Times New Roman"/>
                      <w:i w:val="0"/>
                      <w:iCs w:val="0"/>
                      <w:color w:val="auto"/>
                      <w:sz w:val="18"/>
                      <w:szCs w:val="18"/>
                      <w:highlight w:val="yellow"/>
                      <w:u w:val="none" w:color="auto"/>
                      <w:lang w:val="en-US" w:eastAsia="zh-CN" w:bidi="ar-SA"/>
                    </w:rPr>
                  </w:pPr>
                </w:p>
              </w:tc>
              <w:tc>
                <w:tcPr>
                  <w:tcW w:w="3569" w:type="pct"/>
                  <w:tcBorders>
                    <w:tl2br w:val="nil"/>
                    <w:tr2bl w:val="nil"/>
                  </w:tcBorders>
                  <w:vAlign w:val="center"/>
                </w:tcPr>
                <w:p w14:paraId="38FC86F5">
                  <w:pPr>
                    <w:pStyle w:val="33"/>
                    <w:adjustRightInd w:val="0"/>
                    <w:snapToGrid w:val="0"/>
                    <w:contextualSpacing/>
                    <w:jc w:val="left"/>
                    <w:rPr>
                      <w:rFonts w:ascii="Times New Roman" w:hAnsi="Times New Roman" w:eastAsia="宋体" w:cs="Times New Roman"/>
                      <w:i w:val="0"/>
                      <w:iCs w:val="0"/>
                      <w:color w:val="auto"/>
                      <w:sz w:val="18"/>
                      <w:szCs w:val="18"/>
                      <w:highlight w:val="yellow"/>
                      <w:u w:val="none" w:color="auto"/>
                      <w:lang w:val="en-US" w:eastAsia="zh-CN" w:bidi="ar-SA"/>
                    </w:rPr>
                  </w:pPr>
                  <w:r>
                    <w:rPr>
                      <w:rFonts w:ascii="Times New Roman" w:hAnsi="Times New Roman" w:eastAsia="宋体" w:cs="Times New Roman"/>
                      <w:i w:val="0"/>
                      <w:iCs w:val="0"/>
                      <w:color w:val="auto"/>
                      <w:sz w:val="18"/>
                      <w:szCs w:val="18"/>
                      <w:highlight w:val="yellow"/>
                      <w:u w:val="none" w:color="auto"/>
                      <w:lang w:val="en-US" w:eastAsia="zh-CN" w:bidi="ar-SA"/>
                    </w:rPr>
                    <w:t>强化产业政策在产业转移过程中的引导和约束作用，严格控制在生态脆弱或环境敏感地区建设“两高”行业项目。严格高能耗、高物耗、高水耗和产能过剩、低水平重复建设项目，以及涉及危险化学品、重金属和其他具有重大环境风险建设项目的审批和备案。老工业城市和资源型城市在防止污染转移的基础上，应积极承接有利于延伸产业链、提高技术水平、促进资源综合利用、充分吸纳就业的产业，因地制宜发展优势特色产业。</w:t>
                  </w:r>
                </w:p>
                <w:p w14:paraId="55AE25F5">
                  <w:pPr>
                    <w:pStyle w:val="33"/>
                    <w:adjustRightInd w:val="0"/>
                    <w:snapToGrid w:val="0"/>
                    <w:contextualSpacing/>
                    <w:jc w:val="left"/>
                    <w:rPr>
                      <w:rFonts w:ascii="Times New Roman" w:hAnsi="Times New Roman" w:eastAsia="宋体" w:cs="Times New Roman"/>
                      <w:i w:val="0"/>
                      <w:iCs w:val="0"/>
                      <w:color w:val="auto"/>
                      <w:sz w:val="18"/>
                      <w:szCs w:val="18"/>
                      <w:highlight w:val="yellow"/>
                      <w:u w:val="none" w:color="auto"/>
                      <w:lang w:val="en-US" w:eastAsia="zh-CN" w:bidi="ar-SA"/>
                    </w:rPr>
                  </w:pPr>
                  <w:r>
                    <w:rPr>
                      <w:rFonts w:ascii="Times New Roman" w:hAnsi="Times New Roman" w:eastAsia="宋体" w:cs="Times New Roman"/>
                      <w:i w:val="0"/>
                      <w:iCs w:val="0"/>
                      <w:color w:val="auto"/>
                      <w:sz w:val="18"/>
                      <w:szCs w:val="18"/>
                      <w:highlight w:val="yellow"/>
                      <w:u w:val="none" w:color="auto"/>
                      <w:lang w:val="en-US" w:eastAsia="zh-CN" w:bidi="ar-SA"/>
                    </w:rPr>
                    <w:t>严格控制钢铁、焦化、电解铝、水泥和平板玻璃等行业新增产能，列</w:t>
                  </w:r>
                  <w:r>
                    <w:rPr>
                      <w:rFonts w:hint="eastAsia" w:ascii="Times New Roman" w:hAnsi="Times New Roman" w:eastAsia="宋体" w:cs="Times New Roman"/>
                      <w:i w:val="0"/>
                      <w:iCs w:val="0"/>
                      <w:color w:val="auto"/>
                      <w:sz w:val="18"/>
                      <w:szCs w:val="18"/>
                      <w:highlight w:val="yellow"/>
                      <w:u w:val="none" w:color="auto"/>
                      <w:lang w:val="en-US" w:eastAsia="zh-CN" w:bidi="ar-SA"/>
                    </w:rPr>
                    <w:t>入</w:t>
                  </w:r>
                  <w:r>
                    <w:rPr>
                      <w:rFonts w:ascii="Times New Roman" w:hAnsi="Times New Roman" w:eastAsia="宋体" w:cs="Times New Roman"/>
                      <w:i w:val="0"/>
                      <w:iCs w:val="0"/>
                      <w:color w:val="auto"/>
                      <w:sz w:val="18"/>
                      <w:szCs w:val="18"/>
                      <w:highlight w:val="yellow"/>
                      <w:u w:val="none" w:color="auto"/>
                      <w:lang w:val="en-US" w:eastAsia="zh-CN" w:bidi="ar-SA"/>
                    </w:rPr>
                    <w:t>去产能的钢铁企业退出时须一并退出配套的烧结、球团、焦炉、高炉等设备。严格控制尿素、磷铵、电石、烧碱、聚氯乙烯、纯碱、黄磷等过剩行业新增产能，符合政策要求的先进工艺改造提升项目应实行等量或减量置换。</w:t>
                  </w:r>
                </w:p>
                <w:p w14:paraId="13DF7B66">
                  <w:pPr>
                    <w:pStyle w:val="33"/>
                    <w:adjustRightInd w:val="0"/>
                    <w:snapToGrid w:val="0"/>
                    <w:contextualSpacing/>
                    <w:jc w:val="left"/>
                    <w:rPr>
                      <w:rFonts w:ascii="Times New Roman" w:hAnsi="Times New Roman" w:eastAsia="宋体" w:cs="Times New Roman"/>
                      <w:i w:val="0"/>
                      <w:iCs w:val="0"/>
                      <w:color w:val="auto"/>
                      <w:sz w:val="18"/>
                      <w:szCs w:val="18"/>
                      <w:highlight w:val="yellow"/>
                      <w:u w:val="none" w:color="auto"/>
                      <w:lang w:val="en-US" w:eastAsia="zh-CN" w:bidi="ar-SA"/>
                    </w:rPr>
                  </w:pPr>
                  <w:r>
                    <w:rPr>
                      <w:rFonts w:ascii="Times New Roman" w:hAnsi="Times New Roman" w:eastAsia="宋体" w:cs="Times New Roman"/>
                      <w:i w:val="0"/>
                      <w:iCs w:val="0"/>
                      <w:color w:val="auto"/>
                      <w:sz w:val="18"/>
                      <w:szCs w:val="18"/>
                      <w:highlight w:val="yellow"/>
                      <w:u w:val="none" w:color="auto"/>
                      <w:lang w:val="en-US" w:eastAsia="zh-CN" w:bidi="ar-SA"/>
                    </w:rPr>
                    <w:t>严控新建燃煤锅炉，县级以上城市建成区原则上不再新建每小时35蒸吨以下燃煤锅炉。</w:t>
                  </w:r>
                </w:p>
              </w:tc>
              <w:tc>
                <w:tcPr>
                  <w:tcW w:w="825" w:type="pct"/>
                  <w:tcBorders>
                    <w:tl2br w:val="nil"/>
                    <w:tr2bl w:val="nil"/>
                  </w:tcBorders>
                  <w:vAlign w:val="center"/>
                </w:tcPr>
                <w:p w14:paraId="40A366BB">
                  <w:pPr>
                    <w:pStyle w:val="33"/>
                    <w:adjustRightInd w:val="0"/>
                    <w:snapToGrid w:val="0"/>
                    <w:contextualSpacing/>
                    <w:jc w:val="left"/>
                    <w:rPr>
                      <w:rFonts w:ascii="Times New Roman" w:hAnsi="Times New Roman" w:eastAsia="宋体" w:cs="Times New Roman"/>
                      <w:i w:val="0"/>
                      <w:iCs w:val="0"/>
                      <w:color w:val="auto"/>
                      <w:sz w:val="18"/>
                      <w:szCs w:val="18"/>
                      <w:highlight w:val="yellow"/>
                      <w:u w:val="none" w:color="auto"/>
                      <w:lang w:val="en-US" w:eastAsia="zh-CN" w:bidi="ar-SA"/>
                    </w:rPr>
                  </w:pPr>
                  <w:r>
                    <w:rPr>
                      <w:rFonts w:hint="eastAsia" w:ascii="Times New Roman" w:hAnsi="Times New Roman" w:eastAsia="宋体" w:cs="Times New Roman"/>
                      <w:i w:val="0"/>
                      <w:iCs w:val="0"/>
                      <w:color w:val="auto"/>
                      <w:sz w:val="18"/>
                      <w:szCs w:val="18"/>
                      <w:highlight w:val="yellow"/>
                      <w:u w:val="none" w:color="auto"/>
                      <w:lang w:val="en-US" w:eastAsia="zh-CN" w:bidi="ar-SA"/>
                    </w:rPr>
                    <w:t>本项目不属于“两高”项目，不属于高能耗、高物耗、高水耗和产能过剩、低水平重复建设项目，也不属于严格控制的</w:t>
                  </w:r>
                  <w:r>
                    <w:rPr>
                      <w:rFonts w:ascii="Times New Roman" w:hAnsi="Times New Roman" w:eastAsia="宋体" w:cs="Times New Roman"/>
                      <w:i w:val="0"/>
                      <w:iCs w:val="0"/>
                      <w:color w:val="auto"/>
                      <w:sz w:val="18"/>
                      <w:szCs w:val="18"/>
                      <w:highlight w:val="yellow"/>
                      <w:u w:val="none" w:color="auto"/>
                      <w:lang w:val="en-US" w:eastAsia="zh-CN" w:bidi="ar-SA"/>
                    </w:rPr>
                    <w:t>钢铁、焦化、电解铝、水泥和平板玻璃等行业</w:t>
                  </w:r>
                  <w:r>
                    <w:rPr>
                      <w:rFonts w:hint="eastAsia" w:ascii="Times New Roman" w:hAnsi="Times New Roman" w:eastAsia="宋体" w:cs="Times New Roman"/>
                      <w:i w:val="0"/>
                      <w:iCs w:val="0"/>
                      <w:color w:val="auto"/>
                      <w:sz w:val="18"/>
                      <w:szCs w:val="18"/>
                      <w:highlight w:val="yellow"/>
                      <w:u w:val="none" w:color="auto"/>
                      <w:lang w:val="en-US" w:eastAsia="zh-CN" w:bidi="ar-SA"/>
                    </w:rPr>
                    <w:t>。</w:t>
                  </w:r>
                </w:p>
              </w:tc>
            </w:tr>
            <w:tr w14:paraId="613C05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05" w:type="pct"/>
                  <w:vMerge w:val="continue"/>
                  <w:tcBorders>
                    <w:tl2br w:val="nil"/>
                    <w:tr2bl w:val="nil"/>
                  </w:tcBorders>
                  <w:vAlign w:val="center"/>
                </w:tcPr>
                <w:p w14:paraId="641D6B91">
                  <w:pPr>
                    <w:pStyle w:val="33"/>
                    <w:jc w:val="center"/>
                    <w:rPr>
                      <w:rFonts w:ascii="Times New Roman" w:hAnsi="Times New Roman" w:eastAsia="宋体" w:cs="Times New Roman"/>
                      <w:i w:val="0"/>
                      <w:iCs w:val="0"/>
                      <w:color w:val="auto"/>
                      <w:sz w:val="18"/>
                      <w:szCs w:val="18"/>
                      <w:highlight w:val="yellow"/>
                      <w:u w:val="none" w:color="auto"/>
                      <w:lang w:val="en-US" w:eastAsia="zh-CN" w:bidi="ar-SA"/>
                    </w:rPr>
                  </w:pPr>
                </w:p>
              </w:tc>
              <w:tc>
                <w:tcPr>
                  <w:tcW w:w="3569" w:type="pct"/>
                  <w:tcBorders>
                    <w:tl2br w:val="nil"/>
                    <w:tr2bl w:val="nil"/>
                  </w:tcBorders>
                  <w:vAlign w:val="center"/>
                </w:tcPr>
                <w:p w14:paraId="04C21C3F">
                  <w:pPr>
                    <w:pStyle w:val="33"/>
                    <w:adjustRightInd w:val="0"/>
                    <w:snapToGrid w:val="0"/>
                    <w:contextualSpacing/>
                    <w:jc w:val="left"/>
                    <w:rPr>
                      <w:rFonts w:ascii="Times New Roman" w:hAnsi="Times New Roman" w:eastAsia="宋体" w:cs="Times New Roman"/>
                      <w:i w:val="0"/>
                      <w:iCs w:val="0"/>
                      <w:color w:val="auto"/>
                      <w:sz w:val="18"/>
                      <w:szCs w:val="18"/>
                      <w:highlight w:val="yellow"/>
                      <w:u w:val="none" w:color="auto"/>
                      <w:lang w:val="en-US" w:eastAsia="zh-CN" w:bidi="ar-SA"/>
                    </w:rPr>
                  </w:pPr>
                  <w:r>
                    <w:rPr>
                      <w:rFonts w:ascii="Times New Roman" w:hAnsi="Times New Roman" w:eastAsia="宋体" w:cs="Times New Roman"/>
                      <w:i w:val="0"/>
                      <w:iCs w:val="0"/>
                      <w:color w:val="auto"/>
                      <w:sz w:val="18"/>
                      <w:szCs w:val="18"/>
                      <w:highlight w:val="yellow"/>
                      <w:u w:val="none" w:color="auto"/>
                      <w:lang w:val="en-US" w:eastAsia="zh-CN" w:bidi="ar-SA"/>
                    </w:rPr>
                    <w:t>重大项目原则上应布局在优化开发区和重点开发区，并符合国土空间总体规划。</w:t>
                  </w:r>
                </w:p>
                <w:p w14:paraId="3C356BC3">
                  <w:pPr>
                    <w:pStyle w:val="33"/>
                    <w:adjustRightInd w:val="0"/>
                    <w:snapToGrid w:val="0"/>
                    <w:contextualSpacing/>
                    <w:jc w:val="left"/>
                    <w:rPr>
                      <w:rFonts w:ascii="Times New Roman" w:hAnsi="Times New Roman" w:eastAsia="宋体" w:cs="Times New Roman"/>
                      <w:i w:val="0"/>
                      <w:iCs w:val="0"/>
                      <w:color w:val="auto"/>
                      <w:sz w:val="18"/>
                      <w:szCs w:val="18"/>
                      <w:highlight w:val="yellow"/>
                      <w:u w:val="none" w:color="auto"/>
                      <w:lang w:val="en-US" w:eastAsia="zh-CN" w:bidi="ar-SA"/>
                    </w:rPr>
                  </w:pPr>
                  <w:r>
                    <w:rPr>
                      <w:rFonts w:ascii="Times New Roman" w:hAnsi="Times New Roman" w:eastAsia="宋体" w:cs="Times New Roman"/>
                      <w:i w:val="0"/>
                      <w:iCs w:val="0"/>
                      <w:color w:val="auto"/>
                      <w:sz w:val="18"/>
                      <w:szCs w:val="18"/>
                      <w:highlight w:val="yellow"/>
                      <w:u w:val="none" w:color="auto"/>
                      <w:lang w:val="en-US" w:eastAsia="zh-CN" w:bidi="ar-SA"/>
                    </w:rPr>
                    <w:t>化工石化、有色冶炼、制浆造纸等可能引发环境风险的项目，以及涉及石化、化工、工业涂装等重点行业高VOCs 排放的建设项目，在符合国家产业政策和清洁生产水平要求、满足污染物排放标准以及污染物排放总量控制指标前提下，应当在依法设立、基础设施齐全并具备有效规划、规划环境影响评价的产业园区内布设。</w:t>
                  </w:r>
                </w:p>
                <w:p w14:paraId="37F92D53">
                  <w:pPr>
                    <w:pStyle w:val="33"/>
                    <w:adjustRightInd w:val="0"/>
                    <w:snapToGrid w:val="0"/>
                    <w:contextualSpacing/>
                    <w:jc w:val="left"/>
                    <w:rPr>
                      <w:rFonts w:ascii="Times New Roman" w:hAnsi="Times New Roman" w:eastAsia="宋体" w:cs="Times New Roman"/>
                      <w:i w:val="0"/>
                      <w:iCs w:val="0"/>
                      <w:color w:val="auto"/>
                      <w:sz w:val="18"/>
                      <w:szCs w:val="18"/>
                      <w:highlight w:val="yellow"/>
                      <w:u w:val="none" w:color="auto"/>
                      <w:lang w:val="en-US" w:eastAsia="zh-CN" w:bidi="ar-SA"/>
                    </w:rPr>
                  </w:pPr>
                  <w:r>
                    <w:rPr>
                      <w:rFonts w:hint="eastAsia" w:ascii="Times New Roman" w:hAnsi="Times New Roman" w:eastAsia="宋体" w:cs="Times New Roman"/>
                      <w:i w:val="0"/>
                      <w:iCs w:val="0"/>
                      <w:color w:val="auto"/>
                      <w:sz w:val="18"/>
                      <w:szCs w:val="18"/>
                      <w:highlight w:val="yellow"/>
                      <w:u w:val="none" w:color="auto"/>
                      <w:lang w:val="en-US" w:eastAsia="zh-CN" w:bidi="ar-SA"/>
                    </w:rPr>
                    <w:t>严格落实规划环评及其批复文件环境准入条件</w:t>
                  </w:r>
                  <w:r>
                    <w:rPr>
                      <w:rFonts w:ascii="Times New Roman" w:hAnsi="Times New Roman" w:eastAsia="宋体" w:cs="Times New Roman"/>
                      <w:i w:val="0"/>
                      <w:iCs w:val="0"/>
                      <w:color w:val="auto"/>
                      <w:sz w:val="18"/>
                      <w:szCs w:val="18"/>
                      <w:highlight w:val="yellow"/>
                      <w:u w:val="none" w:color="auto"/>
                      <w:lang w:val="en-US" w:eastAsia="zh-CN" w:bidi="ar-SA"/>
                    </w:rPr>
                    <w:t>，空气质量未达标地区制定更严格的产业准入门槛。</w:t>
                  </w:r>
                </w:p>
              </w:tc>
              <w:tc>
                <w:tcPr>
                  <w:tcW w:w="825" w:type="pct"/>
                  <w:tcBorders>
                    <w:tl2br w:val="nil"/>
                    <w:tr2bl w:val="nil"/>
                  </w:tcBorders>
                  <w:vAlign w:val="center"/>
                </w:tcPr>
                <w:p w14:paraId="656A0FFE">
                  <w:pPr>
                    <w:pStyle w:val="33"/>
                    <w:adjustRightInd w:val="0"/>
                    <w:snapToGrid w:val="0"/>
                    <w:contextualSpacing/>
                    <w:jc w:val="left"/>
                    <w:rPr>
                      <w:rFonts w:hint="default" w:ascii="Times New Roman" w:hAnsi="Times New Roman" w:eastAsia="宋体" w:cs="Times New Roman"/>
                      <w:i w:val="0"/>
                      <w:iCs w:val="0"/>
                      <w:color w:val="auto"/>
                      <w:sz w:val="18"/>
                      <w:szCs w:val="18"/>
                      <w:highlight w:val="yellow"/>
                      <w:u w:val="none" w:color="auto"/>
                      <w:lang w:val="en-US" w:eastAsia="zh-CN" w:bidi="ar-SA"/>
                    </w:rPr>
                  </w:pPr>
                  <w:r>
                    <w:rPr>
                      <w:rFonts w:hint="eastAsia" w:ascii="Times New Roman" w:hAnsi="Times New Roman" w:eastAsia="宋体" w:cs="Times New Roman"/>
                      <w:i w:val="0"/>
                      <w:iCs w:val="0"/>
                      <w:color w:val="auto"/>
                      <w:sz w:val="18"/>
                      <w:szCs w:val="18"/>
                      <w:highlight w:val="yellow"/>
                      <w:u w:val="none" w:color="auto"/>
                      <w:lang w:val="en-US" w:eastAsia="zh-CN" w:bidi="ar-SA"/>
                    </w:rPr>
                    <w:t>项目不属于重大项目。</w:t>
                  </w:r>
                </w:p>
              </w:tc>
            </w:tr>
            <w:tr w14:paraId="5F7DEC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605" w:type="pct"/>
                  <w:vMerge w:val="continue"/>
                  <w:tcBorders>
                    <w:tl2br w:val="nil"/>
                    <w:tr2bl w:val="nil"/>
                  </w:tcBorders>
                  <w:vAlign w:val="center"/>
                </w:tcPr>
                <w:p w14:paraId="479D251A">
                  <w:pPr>
                    <w:pStyle w:val="33"/>
                    <w:jc w:val="center"/>
                    <w:rPr>
                      <w:rFonts w:ascii="Times New Roman" w:hAnsi="Times New Roman" w:eastAsia="宋体" w:cs="Times New Roman"/>
                      <w:i w:val="0"/>
                      <w:iCs w:val="0"/>
                      <w:color w:val="auto"/>
                      <w:sz w:val="18"/>
                      <w:szCs w:val="18"/>
                      <w:highlight w:val="yellow"/>
                      <w:u w:val="none" w:color="auto"/>
                      <w:lang w:val="en-US" w:eastAsia="zh-CN" w:bidi="ar-SA"/>
                    </w:rPr>
                  </w:pPr>
                </w:p>
              </w:tc>
              <w:tc>
                <w:tcPr>
                  <w:tcW w:w="3569" w:type="pct"/>
                  <w:tcBorders>
                    <w:tl2br w:val="nil"/>
                    <w:tr2bl w:val="nil"/>
                  </w:tcBorders>
                  <w:vAlign w:val="center"/>
                </w:tcPr>
                <w:p w14:paraId="209BD422">
                  <w:pPr>
                    <w:pStyle w:val="33"/>
                    <w:adjustRightInd w:val="0"/>
                    <w:snapToGrid w:val="0"/>
                    <w:contextualSpacing/>
                    <w:jc w:val="left"/>
                    <w:rPr>
                      <w:rFonts w:ascii="Times New Roman" w:hAnsi="Times New Roman" w:eastAsia="宋体" w:cs="Times New Roman"/>
                      <w:i w:val="0"/>
                      <w:iCs w:val="0"/>
                      <w:color w:val="auto"/>
                      <w:sz w:val="18"/>
                      <w:szCs w:val="18"/>
                      <w:highlight w:val="yellow"/>
                      <w:u w:val="none" w:color="auto"/>
                      <w:lang w:val="en-US" w:eastAsia="zh-CN" w:bidi="ar-SA"/>
                    </w:rPr>
                  </w:pPr>
                  <w:r>
                    <w:rPr>
                      <w:rFonts w:ascii="Times New Roman" w:hAnsi="Times New Roman" w:eastAsia="宋体" w:cs="Times New Roman"/>
                      <w:i w:val="0"/>
                      <w:iCs w:val="0"/>
                      <w:color w:val="auto"/>
                      <w:sz w:val="18"/>
                      <w:szCs w:val="18"/>
                      <w:highlight w:val="yellow"/>
                      <w:u w:val="none" w:color="auto"/>
                      <w:lang w:val="en-US" w:eastAsia="zh-CN" w:bidi="ar-SA"/>
                    </w:rPr>
                    <w:t>进一步优化全省化工产业布局，提高化工行业本质安全和绿色发展水平，引领化工园区从规范化发展到高质量发展、促进化工产业转型升级</w:t>
                  </w:r>
                  <w:r>
                    <w:rPr>
                      <w:rFonts w:hint="eastAsia" w:ascii="Times New Roman" w:hAnsi="Times New Roman" w:eastAsia="宋体" w:cs="Times New Roman"/>
                      <w:i w:val="0"/>
                      <w:iCs w:val="0"/>
                      <w:color w:val="auto"/>
                      <w:sz w:val="18"/>
                      <w:szCs w:val="18"/>
                      <w:highlight w:val="yellow"/>
                      <w:u w:val="none" w:color="auto"/>
                      <w:lang w:val="en-US" w:eastAsia="zh-CN" w:bidi="ar-SA"/>
                    </w:rPr>
                    <w:t>。</w:t>
                  </w:r>
                </w:p>
              </w:tc>
              <w:tc>
                <w:tcPr>
                  <w:tcW w:w="825" w:type="pct"/>
                  <w:tcBorders>
                    <w:tl2br w:val="nil"/>
                    <w:tr2bl w:val="nil"/>
                  </w:tcBorders>
                  <w:vAlign w:val="center"/>
                </w:tcPr>
                <w:p w14:paraId="559E13D8">
                  <w:pPr>
                    <w:pStyle w:val="33"/>
                    <w:adjustRightInd w:val="0"/>
                    <w:snapToGrid w:val="0"/>
                    <w:contextualSpacing/>
                    <w:jc w:val="left"/>
                    <w:rPr>
                      <w:rFonts w:hint="default" w:ascii="Times New Roman" w:hAnsi="Times New Roman" w:eastAsia="宋体" w:cs="Times New Roman"/>
                      <w:i w:val="0"/>
                      <w:iCs w:val="0"/>
                      <w:color w:val="auto"/>
                      <w:sz w:val="18"/>
                      <w:szCs w:val="18"/>
                      <w:highlight w:val="yellow"/>
                      <w:u w:val="none" w:color="auto"/>
                      <w:lang w:val="en-US" w:eastAsia="zh-CN" w:bidi="ar-SA"/>
                    </w:rPr>
                  </w:pPr>
                  <w:r>
                    <w:rPr>
                      <w:rFonts w:hint="eastAsia" w:ascii="Times New Roman" w:hAnsi="Times New Roman" w:eastAsia="宋体" w:cs="Times New Roman"/>
                      <w:i w:val="0"/>
                      <w:iCs w:val="0"/>
                      <w:color w:val="auto"/>
                      <w:sz w:val="18"/>
                      <w:szCs w:val="18"/>
                      <w:highlight w:val="yellow"/>
                      <w:u w:val="none" w:color="auto"/>
                      <w:lang w:val="en-US" w:eastAsia="zh-CN" w:bidi="ar-SA"/>
                    </w:rPr>
                    <w:t>不涉及</w:t>
                  </w:r>
                </w:p>
              </w:tc>
            </w:tr>
            <w:tr w14:paraId="47B883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05" w:type="pct"/>
                  <w:vMerge w:val="restart"/>
                  <w:tcBorders>
                    <w:tl2br w:val="nil"/>
                    <w:tr2bl w:val="nil"/>
                  </w:tcBorders>
                  <w:vAlign w:val="center"/>
                </w:tcPr>
                <w:p w14:paraId="20EF4AC9">
                  <w:pPr>
                    <w:pStyle w:val="33"/>
                    <w:jc w:val="center"/>
                    <w:rPr>
                      <w:rFonts w:ascii="Times New Roman" w:hAnsi="Times New Roman" w:eastAsia="宋体" w:cs="Times New Roman"/>
                      <w:i w:val="0"/>
                      <w:iCs w:val="0"/>
                      <w:color w:val="auto"/>
                      <w:sz w:val="18"/>
                      <w:szCs w:val="18"/>
                      <w:highlight w:val="yellow"/>
                      <w:u w:val="none" w:color="auto"/>
                      <w:lang w:val="en-US" w:eastAsia="zh-CN" w:bidi="ar-SA"/>
                    </w:rPr>
                  </w:pPr>
                  <w:r>
                    <w:rPr>
                      <w:rFonts w:ascii="Times New Roman" w:hAnsi="Times New Roman" w:eastAsia="宋体" w:cs="Times New Roman"/>
                      <w:i w:val="0"/>
                      <w:iCs w:val="0"/>
                      <w:color w:val="auto"/>
                      <w:sz w:val="18"/>
                      <w:szCs w:val="18"/>
                      <w:highlight w:val="yellow"/>
                      <w:u w:val="none" w:color="auto"/>
                      <w:lang w:val="en-US" w:eastAsia="zh-CN" w:bidi="ar-SA"/>
                    </w:rPr>
                    <w:t>污染物</w:t>
                  </w:r>
                </w:p>
                <w:p w14:paraId="4D586237">
                  <w:pPr>
                    <w:pStyle w:val="33"/>
                    <w:jc w:val="center"/>
                    <w:rPr>
                      <w:rFonts w:ascii="Times New Roman" w:hAnsi="Times New Roman" w:eastAsia="宋体" w:cs="Times New Roman"/>
                      <w:i w:val="0"/>
                      <w:iCs w:val="0"/>
                      <w:color w:val="auto"/>
                      <w:sz w:val="18"/>
                      <w:szCs w:val="18"/>
                      <w:highlight w:val="yellow"/>
                      <w:u w:val="none" w:color="auto"/>
                      <w:lang w:val="en-US" w:eastAsia="zh-CN" w:bidi="ar-SA"/>
                    </w:rPr>
                  </w:pPr>
                  <w:r>
                    <w:rPr>
                      <w:rFonts w:ascii="Times New Roman" w:hAnsi="Times New Roman" w:eastAsia="宋体" w:cs="Times New Roman"/>
                      <w:i w:val="0"/>
                      <w:iCs w:val="0"/>
                      <w:color w:val="auto"/>
                      <w:sz w:val="18"/>
                      <w:szCs w:val="18"/>
                      <w:highlight w:val="yellow"/>
                      <w:u w:val="none" w:color="auto"/>
                      <w:lang w:val="en-US" w:eastAsia="zh-CN" w:bidi="ar-SA"/>
                    </w:rPr>
                    <w:t>排放管控</w:t>
                  </w:r>
                </w:p>
              </w:tc>
              <w:tc>
                <w:tcPr>
                  <w:tcW w:w="3569" w:type="pct"/>
                  <w:tcBorders>
                    <w:tl2br w:val="nil"/>
                    <w:tr2bl w:val="nil"/>
                  </w:tcBorders>
                  <w:vAlign w:val="center"/>
                </w:tcPr>
                <w:p w14:paraId="74786448">
                  <w:pPr>
                    <w:pStyle w:val="33"/>
                    <w:jc w:val="left"/>
                    <w:rPr>
                      <w:rFonts w:ascii="Times New Roman" w:hAnsi="Times New Roman" w:eastAsia="宋体" w:cs="Times New Roman"/>
                      <w:i w:val="0"/>
                      <w:iCs w:val="0"/>
                      <w:color w:val="auto"/>
                      <w:sz w:val="18"/>
                      <w:szCs w:val="18"/>
                      <w:highlight w:val="yellow"/>
                      <w:u w:val="none" w:color="auto"/>
                      <w:lang w:val="en-US" w:eastAsia="zh-CN" w:bidi="ar-SA"/>
                    </w:rPr>
                  </w:pPr>
                  <w:r>
                    <w:rPr>
                      <w:rFonts w:ascii="Times New Roman" w:hAnsi="Times New Roman" w:eastAsia="宋体" w:cs="Times New Roman"/>
                      <w:i w:val="0"/>
                      <w:iCs w:val="0"/>
                      <w:color w:val="auto"/>
                      <w:sz w:val="18"/>
                      <w:szCs w:val="18"/>
                      <w:highlight w:val="yellow"/>
                      <w:u w:val="none" w:color="auto"/>
                      <w:lang w:val="en-US" w:eastAsia="zh-CN" w:bidi="ar-SA"/>
                    </w:rPr>
                    <w:t>落实主要污染物总量控制和排污许可制度。新建、改建、扩建重点行业建设项目实行主要污染物排放等量或倍量削减替代。严格涉VOCs建设项目环境影响评价，逐步推进区域内VOCs排放等量或倍量削减替代。</w:t>
                  </w:r>
                </w:p>
              </w:tc>
              <w:tc>
                <w:tcPr>
                  <w:tcW w:w="825" w:type="pct"/>
                  <w:tcBorders>
                    <w:tl2br w:val="nil"/>
                    <w:tr2bl w:val="nil"/>
                  </w:tcBorders>
                  <w:vAlign w:val="center"/>
                </w:tcPr>
                <w:p w14:paraId="780121E0">
                  <w:pPr>
                    <w:pStyle w:val="33"/>
                    <w:jc w:val="left"/>
                    <w:rPr>
                      <w:rFonts w:hint="default" w:ascii="Times New Roman" w:hAnsi="Times New Roman" w:eastAsia="宋体" w:cs="Times New Roman"/>
                      <w:i w:val="0"/>
                      <w:iCs w:val="0"/>
                      <w:color w:val="auto"/>
                      <w:sz w:val="18"/>
                      <w:szCs w:val="18"/>
                      <w:highlight w:val="yellow"/>
                      <w:u w:val="none" w:color="auto"/>
                      <w:lang w:val="en-US" w:eastAsia="zh-CN" w:bidi="ar-SA"/>
                    </w:rPr>
                  </w:pPr>
                  <w:r>
                    <w:rPr>
                      <w:rFonts w:hint="eastAsia" w:ascii="Times New Roman" w:hAnsi="Times New Roman" w:eastAsia="宋体" w:cs="Times New Roman"/>
                      <w:i w:val="0"/>
                      <w:iCs w:val="0"/>
                      <w:color w:val="auto"/>
                      <w:sz w:val="18"/>
                      <w:szCs w:val="18"/>
                      <w:highlight w:val="yellow"/>
                      <w:u w:val="none" w:color="auto"/>
                      <w:lang w:val="en-US" w:eastAsia="zh-CN" w:bidi="ar-SA"/>
                    </w:rPr>
                    <w:t>项目不涉及总量控制；项目取得环评批复后及时进行排污许可填报。</w:t>
                  </w:r>
                </w:p>
              </w:tc>
            </w:tr>
            <w:tr w14:paraId="3AFDEF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05" w:type="pct"/>
                  <w:vMerge w:val="continue"/>
                  <w:tcBorders>
                    <w:tl2br w:val="nil"/>
                    <w:tr2bl w:val="nil"/>
                  </w:tcBorders>
                  <w:vAlign w:val="center"/>
                </w:tcPr>
                <w:p w14:paraId="5BEBFAF4">
                  <w:pPr>
                    <w:pStyle w:val="33"/>
                    <w:jc w:val="center"/>
                    <w:rPr>
                      <w:rFonts w:ascii="Times New Roman" w:hAnsi="Times New Roman" w:eastAsia="宋体" w:cs="Times New Roman"/>
                      <w:i w:val="0"/>
                      <w:iCs w:val="0"/>
                      <w:color w:val="auto"/>
                      <w:sz w:val="18"/>
                      <w:szCs w:val="18"/>
                      <w:highlight w:val="yellow"/>
                      <w:u w:val="none" w:color="auto"/>
                      <w:lang w:val="en-US" w:eastAsia="zh-CN" w:bidi="ar-SA"/>
                    </w:rPr>
                  </w:pPr>
                </w:p>
              </w:tc>
              <w:tc>
                <w:tcPr>
                  <w:tcW w:w="3569" w:type="pct"/>
                  <w:tcBorders>
                    <w:tl2br w:val="nil"/>
                    <w:tr2bl w:val="nil"/>
                  </w:tcBorders>
                  <w:vAlign w:val="center"/>
                </w:tcPr>
                <w:p w14:paraId="0BEE33C7">
                  <w:pPr>
                    <w:pStyle w:val="33"/>
                    <w:jc w:val="left"/>
                    <w:rPr>
                      <w:rFonts w:ascii="Times New Roman" w:hAnsi="Times New Roman" w:eastAsia="宋体" w:cs="Times New Roman"/>
                      <w:i w:val="0"/>
                      <w:iCs w:val="0"/>
                      <w:color w:val="auto"/>
                      <w:sz w:val="18"/>
                      <w:szCs w:val="18"/>
                      <w:highlight w:val="yellow"/>
                      <w:u w:val="none" w:color="auto"/>
                      <w:lang w:val="en-US" w:eastAsia="zh-CN" w:bidi="ar-SA"/>
                    </w:rPr>
                  </w:pPr>
                  <w:r>
                    <w:rPr>
                      <w:rFonts w:ascii="Times New Roman" w:hAnsi="Times New Roman" w:eastAsia="宋体" w:cs="Times New Roman"/>
                      <w:i w:val="0"/>
                      <w:iCs w:val="0"/>
                      <w:color w:val="auto"/>
                      <w:sz w:val="18"/>
                      <w:szCs w:val="18"/>
                      <w:highlight w:val="yellow"/>
                      <w:u w:val="none" w:color="auto"/>
                      <w:lang w:val="en-US" w:eastAsia="zh-CN" w:bidi="ar-SA"/>
                    </w:rPr>
                    <w:t>空气质量未达标地区新建项目涉及的二氧化硫、氮氧化物、颗粒物、挥发性有机物（VOCs）排放全面执行大气污染物特别排放限值。</w:t>
                  </w:r>
                </w:p>
              </w:tc>
              <w:tc>
                <w:tcPr>
                  <w:tcW w:w="825" w:type="pct"/>
                  <w:tcBorders>
                    <w:tl2br w:val="nil"/>
                    <w:tr2bl w:val="nil"/>
                  </w:tcBorders>
                  <w:vAlign w:val="center"/>
                </w:tcPr>
                <w:p w14:paraId="0F5F230D">
                  <w:pPr>
                    <w:pStyle w:val="33"/>
                    <w:jc w:val="left"/>
                    <w:rPr>
                      <w:rFonts w:hint="default" w:ascii="Times New Roman" w:hAnsi="Times New Roman" w:eastAsia="宋体" w:cs="Times New Roman"/>
                      <w:i w:val="0"/>
                      <w:iCs w:val="0"/>
                      <w:color w:val="auto"/>
                      <w:sz w:val="18"/>
                      <w:szCs w:val="18"/>
                      <w:highlight w:val="yellow"/>
                      <w:u w:val="none" w:color="auto"/>
                      <w:lang w:val="en-US" w:eastAsia="zh-CN" w:bidi="ar-SA"/>
                    </w:rPr>
                  </w:pPr>
                  <w:r>
                    <w:rPr>
                      <w:rFonts w:hint="eastAsia" w:ascii="Times New Roman" w:hAnsi="Times New Roman" w:eastAsia="宋体" w:cs="Times New Roman"/>
                      <w:i w:val="0"/>
                      <w:iCs w:val="0"/>
                      <w:color w:val="auto"/>
                      <w:sz w:val="18"/>
                      <w:szCs w:val="18"/>
                      <w:highlight w:val="yellow"/>
                      <w:u w:val="none" w:color="auto"/>
                      <w:lang w:val="en-US" w:eastAsia="zh-CN" w:bidi="ar-SA"/>
                    </w:rPr>
                    <w:t>项目位于达标区，不需执行特别排放限值要求。</w:t>
                  </w:r>
                </w:p>
              </w:tc>
            </w:tr>
            <w:tr w14:paraId="184A97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05" w:type="pct"/>
                  <w:vMerge w:val="continue"/>
                  <w:tcBorders>
                    <w:tl2br w:val="nil"/>
                    <w:tr2bl w:val="nil"/>
                  </w:tcBorders>
                  <w:vAlign w:val="center"/>
                </w:tcPr>
                <w:p w14:paraId="113B612C">
                  <w:pPr>
                    <w:pStyle w:val="33"/>
                    <w:jc w:val="center"/>
                    <w:rPr>
                      <w:rFonts w:ascii="Times New Roman" w:hAnsi="Times New Roman" w:eastAsia="宋体" w:cs="Times New Roman"/>
                      <w:i w:val="0"/>
                      <w:iCs w:val="0"/>
                      <w:color w:val="auto"/>
                      <w:sz w:val="18"/>
                      <w:szCs w:val="18"/>
                      <w:highlight w:val="yellow"/>
                      <w:u w:val="none" w:color="auto"/>
                      <w:lang w:val="en-US" w:eastAsia="zh-CN" w:bidi="ar-SA"/>
                    </w:rPr>
                  </w:pPr>
                </w:p>
              </w:tc>
              <w:tc>
                <w:tcPr>
                  <w:tcW w:w="3569" w:type="pct"/>
                  <w:tcBorders>
                    <w:tl2br w:val="nil"/>
                    <w:tr2bl w:val="nil"/>
                  </w:tcBorders>
                  <w:vAlign w:val="center"/>
                </w:tcPr>
                <w:p w14:paraId="75D9402D">
                  <w:pPr>
                    <w:pStyle w:val="33"/>
                    <w:jc w:val="left"/>
                    <w:rPr>
                      <w:rFonts w:ascii="Times New Roman" w:hAnsi="Times New Roman" w:eastAsia="宋体" w:cs="Times New Roman"/>
                      <w:i w:val="0"/>
                      <w:iCs w:val="0"/>
                      <w:color w:val="auto"/>
                      <w:sz w:val="18"/>
                      <w:szCs w:val="18"/>
                      <w:highlight w:val="yellow"/>
                      <w:u w:val="none" w:color="auto"/>
                      <w:lang w:val="en-US" w:eastAsia="zh-CN" w:bidi="ar-SA"/>
                    </w:rPr>
                  </w:pPr>
                  <w:r>
                    <w:rPr>
                      <w:rFonts w:ascii="Times New Roman" w:hAnsi="Times New Roman" w:eastAsia="宋体" w:cs="Times New Roman"/>
                      <w:i w:val="0"/>
                      <w:iCs w:val="0"/>
                      <w:color w:val="auto"/>
                      <w:sz w:val="18"/>
                      <w:szCs w:val="18"/>
                      <w:highlight w:val="yellow"/>
                      <w:u w:val="none" w:color="auto"/>
                      <w:lang w:val="en-US" w:eastAsia="zh-CN" w:bidi="ar-SA"/>
                    </w:rPr>
                    <w:t>推行</w:t>
                  </w:r>
                  <w:r>
                    <w:rPr>
                      <w:rFonts w:hint="eastAsia" w:ascii="Times New Roman" w:hAnsi="Times New Roman" w:eastAsia="宋体" w:cs="Times New Roman"/>
                      <w:i w:val="0"/>
                      <w:iCs w:val="0"/>
                      <w:color w:val="auto"/>
                      <w:sz w:val="18"/>
                      <w:szCs w:val="18"/>
                      <w:highlight w:val="yellow"/>
                      <w:u w:val="none" w:color="auto"/>
                      <w:lang w:val="en-US" w:eastAsia="zh-CN" w:bidi="ar-SA"/>
                    </w:rPr>
                    <w:t>秸秆</w:t>
                  </w:r>
                  <w:r>
                    <w:rPr>
                      <w:rFonts w:ascii="Times New Roman" w:hAnsi="Times New Roman" w:eastAsia="宋体" w:cs="Times New Roman"/>
                      <w:i w:val="0"/>
                      <w:iCs w:val="0"/>
                      <w:color w:val="auto"/>
                      <w:sz w:val="18"/>
                      <w:szCs w:val="18"/>
                      <w:highlight w:val="yellow"/>
                      <w:u w:val="none" w:color="auto"/>
                      <w:lang w:val="en-US" w:eastAsia="zh-CN" w:bidi="ar-SA"/>
                    </w:rPr>
                    <w:t>全量化处置，持续推进</w:t>
                  </w:r>
                  <w:r>
                    <w:rPr>
                      <w:rFonts w:hint="eastAsia" w:ascii="Times New Roman" w:hAnsi="Times New Roman" w:eastAsia="宋体" w:cs="Times New Roman"/>
                      <w:i w:val="0"/>
                      <w:iCs w:val="0"/>
                      <w:color w:val="auto"/>
                      <w:sz w:val="18"/>
                      <w:szCs w:val="18"/>
                      <w:highlight w:val="yellow"/>
                      <w:u w:val="none" w:color="auto"/>
                      <w:lang w:val="en-US" w:eastAsia="zh-CN" w:bidi="ar-SA"/>
                    </w:rPr>
                    <w:t>秸秆</w:t>
                  </w:r>
                  <w:r>
                    <w:rPr>
                      <w:rFonts w:ascii="Times New Roman" w:hAnsi="Times New Roman" w:eastAsia="宋体" w:cs="Times New Roman"/>
                      <w:i w:val="0"/>
                      <w:iCs w:val="0"/>
                      <w:color w:val="auto"/>
                      <w:sz w:val="18"/>
                      <w:szCs w:val="18"/>
                      <w:highlight w:val="yellow"/>
                      <w:u w:val="none" w:color="auto"/>
                      <w:lang w:val="en-US" w:eastAsia="zh-CN" w:bidi="ar-SA"/>
                    </w:rPr>
                    <w:t>肥料化、饲料化、能源化、基料化和原料化</w:t>
                  </w:r>
                  <w:r>
                    <w:rPr>
                      <w:rFonts w:hint="eastAsia" w:ascii="Times New Roman" w:hAnsi="Times New Roman" w:eastAsia="宋体" w:cs="Times New Roman"/>
                      <w:i w:val="0"/>
                      <w:iCs w:val="0"/>
                      <w:color w:val="auto"/>
                      <w:sz w:val="18"/>
                      <w:szCs w:val="18"/>
                      <w:highlight w:val="yellow"/>
                      <w:u w:val="none" w:color="auto"/>
                      <w:lang w:val="en-US" w:eastAsia="zh-CN" w:bidi="ar-SA"/>
                    </w:rPr>
                    <w:t>，</w:t>
                  </w:r>
                  <w:r>
                    <w:rPr>
                      <w:rFonts w:ascii="Times New Roman" w:hAnsi="Times New Roman" w:eastAsia="宋体" w:cs="Times New Roman"/>
                      <w:i w:val="0"/>
                      <w:iCs w:val="0"/>
                      <w:color w:val="auto"/>
                      <w:sz w:val="18"/>
                      <w:szCs w:val="18"/>
                      <w:highlight w:val="yellow"/>
                      <w:u w:val="none" w:color="auto"/>
                      <w:lang w:val="en-US" w:eastAsia="zh-CN" w:bidi="ar-SA"/>
                    </w:rPr>
                    <w:t>逐步形成</w:t>
                  </w:r>
                  <w:r>
                    <w:rPr>
                      <w:rFonts w:hint="eastAsia" w:ascii="Times New Roman" w:hAnsi="Times New Roman" w:eastAsia="宋体" w:cs="Times New Roman"/>
                      <w:i w:val="0"/>
                      <w:iCs w:val="0"/>
                      <w:color w:val="auto"/>
                      <w:sz w:val="18"/>
                      <w:szCs w:val="18"/>
                      <w:highlight w:val="yellow"/>
                      <w:u w:val="none" w:color="auto"/>
                      <w:lang w:val="en-US" w:eastAsia="zh-CN" w:bidi="ar-SA"/>
                    </w:rPr>
                    <w:t>秸秆</w:t>
                  </w:r>
                  <w:r>
                    <w:rPr>
                      <w:rFonts w:ascii="Times New Roman" w:hAnsi="Times New Roman" w:eastAsia="宋体" w:cs="Times New Roman"/>
                      <w:i w:val="0"/>
                      <w:iCs w:val="0"/>
                      <w:color w:val="auto"/>
                      <w:sz w:val="18"/>
                      <w:szCs w:val="18"/>
                      <w:highlight w:val="yellow"/>
                      <w:u w:val="none" w:color="auto"/>
                      <w:lang w:val="en-US" w:eastAsia="zh-CN" w:bidi="ar-SA"/>
                    </w:rPr>
                    <w:t>综合利用的长效机制。</w:t>
                  </w:r>
                </w:p>
              </w:tc>
              <w:tc>
                <w:tcPr>
                  <w:tcW w:w="825" w:type="pct"/>
                  <w:tcBorders>
                    <w:tl2br w:val="nil"/>
                    <w:tr2bl w:val="nil"/>
                  </w:tcBorders>
                  <w:vAlign w:val="center"/>
                </w:tcPr>
                <w:p w14:paraId="159551A3">
                  <w:pPr>
                    <w:pStyle w:val="33"/>
                    <w:jc w:val="left"/>
                    <w:rPr>
                      <w:rFonts w:hint="default" w:ascii="Times New Roman" w:hAnsi="Times New Roman" w:eastAsia="宋体" w:cs="Times New Roman"/>
                      <w:i w:val="0"/>
                      <w:iCs w:val="0"/>
                      <w:color w:val="auto"/>
                      <w:sz w:val="18"/>
                      <w:szCs w:val="18"/>
                      <w:highlight w:val="yellow"/>
                      <w:u w:val="none" w:color="auto"/>
                      <w:lang w:val="en-US" w:eastAsia="zh-CN" w:bidi="ar-SA"/>
                    </w:rPr>
                  </w:pPr>
                  <w:r>
                    <w:rPr>
                      <w:rFonts w:hint="eastAsia" w:ascii="Times New Roman" w:hAnsi="Times New Roman" w:eastAsia="宋体" w:cs="Times New Roman"/>
                      <w:i w:val="0"/>
                      <w:iCs w:val="0"/>
                      <w:color w:val="auto"/>
                      <w:sz w:val="18"/>
                      <w:szCs w:val="18"/>
                      <w:highlight w:val="yellow"/>
                      <w:u w:val="none" w:color="auto"/>
                      <w:lang w:val="en-US" w:eastAsia="zh-CN" w:bidi="ar-SA"/>
                    </w:rPr>
                    <w:t>不涉及</w:t>
                  </w:r>
                </w:p>
              </w:tc>
            </w:tr>
            <w:tr w14:paraId="7E4C4B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05" w:type="pct"/>
                  <w:vMerge w:val="continue"/>
                  <w:tcBorders>
                    <w:tl2br w:val="nil"/>
                    <w:tr2bl w:val="nil"/>
                  </w:tcBorders>
                  <w:vAlign w:val="center"/>
                </w:tcPr>
                <w:p w14:paraId="57D4EE04">
                  <w:pPr>
                    <w:pStyle w:val="33"/>
                    <w:jc w:val="center"/>
                    <w:rPr>
                      <w:rFonts w:ascii="Times New Roman" w:hAnsi="Times New Roman" w:eastAsia="宋体" w:cs="Times New Roman"/>
                      <w:i w:val="0"/>
                      <w:iCs w:val="0"/>
                      <w:color w:val="auto"/>
                      <w:sz w:val="18"/>
                      <w:szCs w:val="18"/>
                      <w:highlight w:val="yellow"/>
                      <w:u w:val="none" w:color="auto"/>
                      <w:lang w:val="en-US" w:eastAsia="zh-CN" w:bidi="ar-SA"/>
                    </w:rPr>
                  </w:pPr>
                </w:p>
              </w:tc>
              <w:tc>
                <w:tcPr>
                  <w:tcW w:w="3569" w:type="pct"/>
                  <w:tcBorders>
                    <w:tl2br w:val="nil"/>
                    <w:tr2bl w:val="nil"/>
                  </w:tcBorders>
                  <w:vAlign w:val="center"/>
                </w:tcPr>
                <w:p w14:paraId="60072458">
                  <w:pPr>
                    <w:pStyle w:val="33"/>
                    <w:contextualSpacing/>
                    <w:jc w:val="left"/>
                    <w:rPr>
                      <w:rFonts w:ascii="Times New Roman" w:hAnsi="Times New Roman" w:eastAsia="宋体" w:cs="Times New Roman"/>
                      <w:i w:val="0"/>
                      <w:iCs w:val="0"/>
                      <w:color w:val="auto"/>
                      <w:sz w:val="18"/>
                      <w:szCs w:val="18"/>
                      <w:highlight w:val="yellow"/>
                      <w:u w:val="none" w:color="auto"/>
                      <w:lang w:val="en-US" w:eastAsia="zh-CN" w:bidi="ar-SA"/>
                    </w:rPr>
                  </w:pPr>
                  <w:r>
                    <w:rPr>
                      <w:rFonts w:ascii="Times New Roman" w:hAnsi="Times New Roman" w:eastAsia="宋体" w:cs="Times New Roman"/>
                      <w:i w:val="0"/>
                      <w:iCs w:val="0"/>
                      <w:color w:val="auto"/>
                      <w:sz w:val="18"/>
                      <w:szCs w:val="18"/>
                      <w:highlight w:val="yellow"/>
                      <w:u w:val="none" w:color="auto"/>
                      <w:lang w:val="en-US" w:eastAsia="zh-CN" w:bidi="ar-SA"/>
                    </w:rPr>
                    <w:t>推动城镇污水处理厂扩容工程和提标改造。超负荷、满负荷运行的污水处理厂要及时实施扩容，出水排入超标水域的污水处理厂要因地制宜提高出水标准。</w:t>
                  </w:r>
                </w:p>
              </w:tc>
              <w:tc>
                <w:tcPr>
                  <w:tcW w:w="825" w:type="pct"/>
                  <w:tcBorders>
                    <w:tl2br w:val="nil"/>
                    <w:tr2bl w:val="nil"/>
                  </w:tcBorders>
                  <w:vAlign w:val="center"/>
                </w:tcPr>
                <w:p w14:paraId="767C5139">
                  <w:pPr>
                    <w:pStyle w:val="33"/>
                    <w:contextualSpacing/>
                    <w:jc w:val="left"/>
                    <w:rPr>
                      <w:rFonts w:ascii="Times New Roman" w:hAnsi="Times New Roman" w:eastAsia="宋体" w:cs="Times New Roman"/>
                      <w:i w:val="0"/>
                      <w:iCs w:val="0"/>
                      <w:color w:val="auto"/>
                      <w:sz w:val="18"/>
                      <w:szCs w:val="18"/>
                      <w:highlight w:val="yellow"/>
                      <w:u w:val="none" w:color="auto"/>
                      <w:lang w:val="en-US" w:eastAsia="zh-CN" w:bidi="ar-SA"/>
                    </w:rPr>
                  </w:pPr>
                  <w:r>
                    <w:rPr>
                      <w:rFonts w:hint="eastAsia" w:ascii="Times New Roman" w:hAnsi="Times New Roman" w:eastAsia="宋体" w:cs="Times New Roman"/>
                      <w:i w:val="0"/>
                      <w:iCs w:val="0"/>
                      <w:color w:val="auto"/>
                      <w:sz w:val="18"/>
                      <w:szCs w:val="18"/>
                      <w:highlight w:val="yellow"/>
                      <w:u w:val="none" w:color="auto"/>
                      <w:lang w:val="en-US" w:eastAsia="zh-CN" w:bidi="ar-SA"/>
                    </w:rPr>
                    <w:t>不涉及</w:t>
                  </w:r>
                </w:p>
              </w:tc>
            </w:tr>
            <w:tr w14:paraId="4108F7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05" w:type="pct"/>
                  <w:vMerge w:val="continue"/>
                  <w:tcBorders>
                    <w:tl2br w:val="nil"/>
                    <w:tr2bl w:val="nil"/>
                  </w:tcBorders>
                  <w:vAlign w:val="center"/>
                </w:tcPr>
                <w:p w14:paraId="1957E62B">
                  <w:pPr>
                    <w:pStyle w:val="33"/>
                    <w:jc w:val="center"/>
                    <w:rPr>
                      <w:rFonts w:ascii="Times New Roman" w:hAnsi="Times New Roman" w:eastAsia="宋体" w:cs="Times New Roman"/>
                      <w:i w:val="0"/>
                      <w:iCs w:val="0"/>
                      <w:color w:val="auto"/>
                      <w:sz w:val="18"/>
                      <w:szCs w:val="18"/>
                      <w:highlight w:val="yellow"/>
                      <w:u w:val="none" w:color="auto"/>
                      <w:lang w:val="en-US" w:eastAsia="zh-CN" w:bidi="ar-SA"/>
                    </w:rPr>
                  </w:pPr>
                </w:p>
              </w:tc>
              <w:tc>
                <w:tcPr>
                  <w:tcW w:w="3569" w:type="pct"/>
                  <w:tcBorders>
                    <w:tl2br w:val="nil"/>
                    <w:tr2bl w:val="nil"/>
                  </w:tcBorders>
                  <w:vAlign w:val="center"/>
                </w:tcPr>
                <w:p w14:paraId="2CD25D43">
                  <w:pPr>
                    <w:pStyle w:val="33"/>
                    <w:jc w:val="left"/>
                    <w:rPr>
                      <w:rFonts w:ascii="Times New Roman" w:hAnsi="Times New Roman" w:eastAsia="宋体" w:cs="Times New Roman"/>
                      <w:i w:val="0"/>
                      <w:iCs w:val="0"/>
                      <w:color w:val="auto"/>
                      <w:sz w:val="18"/>
                      <w:szCs w:val="18"/>
                      <w:highlight w:val="yellow"/>
                      <w:u w:val="none" w:color="auto"/>
                      <w:lang w:val="en-US" w:eastAsia="zh-CN" w:bidi="ar-SA"/>
                    </w:rPr>
                  </w:pPr>
                  <w:r>
                    <w:rPr>
                      <w:rFonts w:ascii="Times New Roman" w:hAnsi="Times New Roman" w:eastAsia="宋体" w:cs="Times New Roman"/>
                      <w:i w:val="0"/>
                      <w:iCs w:val="0"/>
                      <w:color w:val="auto"/>
                      <w:sz w:val="18"/>
                      <w:szCs w:val="18"/>
                      <w:highlight w:val="yellow"/>
                      <w:u w:val="none" w:color="auto"/>
                      <w:lang w:val="en-US" w:eastAsia="zh-CN" w:bidi="ar-SA"/>
                    </w:rPr>
                    <w:t>规模化畜禽养殖场（小区）应当保证畜禽粪污无害化处理和资源化利用设施的正常运转。</w:t>
                  </w:r>
                </w:p>
              </w:tc>
              <w:tc>
                <w:tcPr>
                  <w:tcW w:w="825" w:type="pct"/>
                  <w:tcBorders>
                    <w:tl2br w:val="nil"/>
                    <w:tr2bl w:val="nil"/>
                  </w:tcBorders>
                  <w:vAlign w:val="center"/>
                </w:tcPr>
                <w:p w14:paraId="555FEE32">
                  <w:pPr>
                    <w:pStyle w:val="33"/>
                    <w:jc w:val="left"/>
                    <w:rPr>
                      <w:rFonts w:ascii="Times New Roman" w:hAnsi="Times New Roman" w:eastAsia="宋体" w:cs="Times New Roman"/>
                      <w:i w:val="0"/>
                      <w:iCs w:val="0"/>
                      <w:color w:val="auto"/>
                      <w:sz w:val="18"/>
                      <w:szCs w:val="18"/>
                      <w:highlight w:val="yellow"/>
                      <w:u w:val="none" w:color="auto"/>
                      <w:lang w:val="en-US" w:eastAsia="zh-CN" w:bidi="ar-SA"/>
                    </w:rPr>
                  </w:pPr>
                  <w:r>
                    <w:rPr>
                      <w:rFonts w:hint="eastAsia" w:ascii="Times New Roman" w:hAnsi="Times New Roman" w:eastAsia="宋体" w:cs="Times New Roman"/>
                      <w:i w:val="0"/>
                      <w:iCs w:val="0"/>
                      <w:color w:val="auto"/>
                      <w:sz w:val="18"/>
                      <w:szCs w:val="18"/>
                      <w:highlight w:val="yellow"/>
                      <w:u w:val="none" w:color="auto"/>
                      <w:lang w:val="en-US" w:eastAsia="zh-CN" w:bidi="ar-SA"/>
                    </w:rPr>
                    <w:t>不涉及</w:t>
                  </w:r>
                </w:p>
              </w:tc>
            </w:tr>
            <w:tr w14:paraId="3C969F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5" w:type="pct"/>
                  <w:vMerge w:val="restart"/>
                  <w:tcBorders>
                    <w:tl2br w:val="nil"/>
                    <w:tr2bl w:val="nil"/>
                  </w:tcBorders>
                  <w:vAlign w:val="center"/>
                </w:tcPr>
                <w:p w14:paraId="4E1003DF">
                  <w:pPr>
                    <w:pStyle w:val="33"/>
                    <w:jc w:val="center"/>
                    <w:rPr>
                      <w:rFonts w:ascii="Times New Roman" w:hAnsi="Times New Roman" w:eastAsia="宋体" w:cs="Times New Roman"/>
                      <w:i w:val="0"/>
                      <w:iCs w:val="0"/>
                      <w:color w:val="auto"/>
                      <w:sz w:val="18"/>
                      <w:szCs w:val="18"/>
                      <w:highlight w:val="yellow"/>
                      <w:u w:val="none" w:color="auto"/>
                      <w:lang w:val="en-US" w:eastAsia="zh-CN" w:bidi="ar-SA"/>
                    </w:rPr>
                  </w:pPr>
                  <w:r>
                    <w:rPr>
                      <w:rFonts w:ascii="Times New Roman" w:hAnsi="Times New Roman" w:eastAsia="宋体" w:cs="Times New Roman"/>
                      <w:i w:val="0"/>
                      <w:iCs w:val="0"/>
                      <w:color w:val="auto"/>
                      <w:sz w:val="18"/>
                      <w:szCs w:val="18"/>
                      <w:highlight w:val="yellow"/>
                      <w:u w:val="none" w:color="auto"/>
                      <w:lang w:val="en-US" w:eastAsia="zh-CN" w:bidi="ar-SA"/>
                    </w:rPr>
                    <w:t>环境风险防控</w:t>
                  </w:r>
                </w:p>
              </w:tc>
              <w:tc>
                <w:tcPr>
                  <w:tcW w:w="3569" w:type="pct"/>
                  <w:tcBorders>
                    <w:tl2br w:val="nil"/>
                    <w:tr2bl w:val="nil"/>
                  </w:tcBorders>
                  <w:vAlign w:val="center"/>
                </w:tcPr>
                <w:p w14:paraId="1C66FA0F">
                  <w:pPr>
                    <w:pStyle w:val="33"/>
                    <w:jc w:val="left"/>
                    <w:rPr>
                      <w:rFonts w:ascii="Times New Roman" w:hAnsi="Times New Roman" w:eastAsia="宋体" w:cs="Times New Roman"/>
                      <w:i w:val="0"/>
                      <w:iCs w:val="0"/>
                      <w:color w:val="auto"/>
                      <w:sz w:val="18"/>
                      <w:szCs w:val="18"/>
                      <w:highlight w:val="yellow"/>
                      <w:u w:val="none" w:color="auto"/>
                      <w:lang w:val="en-US" w:eastAsia="zh-CN" w:bidi="ar-SA"/>
                    </w:rPr>
                  </w:pPr>
                  <w:r>
                    <w:rPr>
                      <w:rFonts w:ascii="Times New Roman" w:hAnsi="Times New Roman" w:eastAsia="宋体" w:cs="Times New Roman"/>
                      <w:i w:val="0"/>
                      <w:iCs w:val="0"/>
                      <w:color w:val="auto"/>
                      <w:sz w:val="18"/>
                      <w:szCs w:val="18"/>
                      <w:highlight w:val="yellow"/>
                      <w:u w:val="none" w:color="auto"/>
                      <w:lang w:val="en-US" w:eastAsia="zh-CN" w:bidi="ar-SA"/>
                    </w:rPr>
                    <w:t>到2025年，城镇人口密集区现有不符合防护距离要求的危险化学品生产企业应就地改造达标、搬迁进入规范化工园区或关闭退出，企业安全和环境风险大幅降低。</w:t>
                  </w:r>
                </w:p>
              </w:tc>
              <w:tc>
                <w:tcPr>
                  <w:tcW w:w="825" w:type="pct"/>
                  <w:tcBorders>
                    <w:tl2br w:val="nil"/>
                    <w:tr2bl w:val="nil"/>
                  </w:tcBorders>
                  <w:vAlign w:val="center"/>
                </w:tcPr>
                <w:p w14:paraId="6B35E0F2">
                  <w:pPr>
                    <w:pStyle w:val="33"/>
                    <w:jc w:val="left"/>
                    <w:rPr>
                      <w:rFonts w:ascii="Times New Roman" w:hAnsi="Times New Roman" w:eastAsia="宋体" w:cs="Times New Roman"/>
                      <w:i w:val="0"/>
                      <w:iCs w:val="0"/>
                      <w:color w:val="auto"/>
                      <w:sz w:val="18"/>
                      <w:szCs w:val="18"/>
                      <w:highlight w:val="yellow"/>
                      <w:u w:val="none" w:color="auto"/>
                      <w:lang w:val="en-US" w:eastAsia="zh-CN" w:bidi="ar-SA"/>
                    </w:rPr>
                  </w:pPr>
                  <w:r>
                    <w:rPr>
                      <w:rFonts w:hint="eastAsia" w:ascii="Times New Roman" w:hAnsi="Times New Roman" w:eastAsia="宋体" w:cs="Times New Roman"/>
                      <w:i w:val="0"/>
                      <w:iCs w:val="0"/>
                      <w:color w:val="auto"/>
                      <w:sz w:val="18"/>
                      <w:szCs w:val="18"/>
                      <w:highlight w:val="yellow"/>
                      <w:u w:val="none" w:color="auto"/>
                      <w:lang w:val="en-US" w:eastAsia="zh-CN" w:bidi="ar-SA"/>
                    </w:rPr>
                    <w:t>不涉及</w:t>
                  </w:r>
                </w:p>
              </w:tc>
            </w:tr>
            <w:tr w14:paraId="025372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05" w:type="pct"/>
                  <w:vMerge w:val="continue"/>
                  <w:tcBorders>
                    <w:tl2br w:val="nil"/>
                    <w:tr2bl w:val="nil"/>
                  </w:tcBorders>
                  <w:vAlign w:val="center"/>
                </w:tcPr>
                <w:p w14:paraId="1888D560">
                  <w:pPr>
                    <w:pStyle w:val="33"/>
                    <w:jc w:val="center"/>
                    <w:rPr>
                      <w:rFonts w:ascii="Times New Roman" w:hAnsi="Times New Roman" w:eastAsia="宋体" w:cs="Times New Roman"/>
                      <w:i w:val="0"/>
                      <w:iCs w:val="0"/>
                      <w:color w:val="auto"/>
                      <w:sz w:val="18"/>
                      <w:szCs w:val="18"/>
                      <w:highlight w:val="yellow"/>
                      <w:u w:val="none" w:color="auto"/>
                      <w:lang w:val="en-US" w:eastAsia="zh-CN" w:bidi="ar-SA"/>
                    </w:rPr>
                  </w:pPr>
                </w:p>
              </w:tc>
              <w:tc>
                <w:tcPr>
                  <w:tcW w:w="3569" w:type="pct"/>
                  <w:tcBorders>
                    <w:tl2br w:val="nil"/>
                    <w:tr2bl w:val="nil"/>
                  </w:tcBorders>
                  <w:vAlign w:val="center"/>
                </w:tcPr>
                <w:p w14:paraId="24B5BD97">
                  <w:pPr>
                    <w:pStyle w:val="33"/>
                    <w:jc w:val="left"/>
                    <w:rPr>
                      <w:rFonts w:ascii="Times New Roman" w:hAnsi="Times New Roman" w:eastAsia="宋体" w:cs="Times New Roman"/>
                      <w:i w:val="0"/>
                      <w:iCs w:val="0"/>
                      <w:color w:val="auto"/>
                      <w:sz w:val="18"/>
                      <w:szCs w:val="18"/>
                      <w:highlight w:val="yellow"/>
                      <w:u w:val="none" w:color="auto"/>
                      <w:lang w:val="en-US" w:eastAsia="zh-CN" w:bidi="ar-SA"/>
                    </w:rPr>
                  </w:pPr>
                  <w:r>
                    <w:rPr>
                      <w:rFonts w:ascii="Times New Roman" w:hAnsi="Times New Roman" w:eastAsia="宋体" w:cs="Times New Roman"/>
                      <w:i w:val="0"/>
                      <w:iCs w:val="0"/>
                      <w:color w:val="auto"/>
                      <w:sz w:val="18"/>
                      <w:szCs w:val="18"/>
                      <w:highlight w:val="yellow"/>
                      <w:u w:val="none" w:color="auto"/>
                      <w:lang w:val="en-US" w:eastAsia="zh-CN" w:bidi="ar-SA"/>
                    </w:rPr>
                    <w:t>巩固城市饮用水水源保护与治理成果，加强饮用水水源地规范化建设，完善风险防控与应急能力建设和相关管理措施，保证饮用水水源水质达标和水源安全。</w:t>
                  </w:r>
                </w:p>
              </w:tc>
              <w:tc>
                <w:tcPr>
                  <w:tcW w:w="825" w:type="pct"/>
                  <w:tcBorders>
                    <w:tl2br w:val="nil"/>
                    <w:tr2bl w:val="nil"/>
                  </w:tcBorders>
                  <w:vAlign w:val="center"/>
                </w:tcPr>
                <w:p w14:paraId="6E424D7C">
                  <w:pPr>
                    <w:pStyle w:val="33"/>
                    <w:jc w:val="left"/>
                    <w:rPr>
                      <w:rFonts w:ascii="Times New Roman" w:hAnsi="Times New Roman" w:eastAsia="宋体" w:cs="Times New Roman"/>
                      <w:i w:val="0"/>
                      <w:iCs w:val="0"/>
                      <w:color w:val="auto"/>
                      <w:sz w:val="18"/>
                      <w:szCs w:val="18"/>
                      <w:highlight w:val="yellow"/>
                      <w:u w:val="none" w:color="auto"/>
                      <w:lang w:val="en-US" w:eastAsia="zh-CN" w:bidi="ar-SA"/>
                    </w:rPr>
                  </w:pPr>
                  <w:r>
                    <w:rPr>
                      <w:rFonts w:hint="eastAsia" w:ascii="Times New Roman" w:hAnsi="Times New Roman" w:eastAsia="宋体" w:cs="Times New Roman"/>
                      <w:i w:val="0"/>
                      <w:iCs w:val="0"/>
                      <w:color w:val="auto"/>
                      <w:sz w:val="18"/>
                      <w:szCs w:val="18"/>
                      <w:highlight w:val="yellow"/>
                      <w:u w:val="none" w:color="auto"/>
                      <w:lang w:val="en-US" w:eastAsia="zh-CN" w:bidi="ar-SA"/>
                    </w:rPr>
                    <w:t>不涉及</w:t>
                  </w:r>
                </w:p>
              </w:tc>
            </w:tr>
            <w:tr w14:paraId="224486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5" w:type="pct"/>
                  <w:vMerge w:val="restart"/>
                  <w:tcBorders>
                    <w:tl2br w:val="nil"/>
                    <w:tr2bl w:val="nil"/>
                  </w:tcBorders>
                  <w:vAlign w:val="center"/>
                </w:tcPr>
                <w:p w14:paraId="3EC17BD2">
                  <w:pPr>
                    <w:pStyle w:val="33"/>
                    <w:jc w:val="center"/>
                    <w:rPr>
                      <w:rFonts w:ascii="Times New Roman" w:hAnsi="Times New Roman" w:eastAsia="宋体" w:cs="Times New Roman"/>
                      <w:i w:val="0"/>
                      <w:iCs w:val="0"/>
                      <w:color w:val="auto"/>
                      <w:sz w:val="18"/>
                      <w:szCs w:val="18"/>
                      <w:highlight w:val="yellow"/>
                      <w:u w:val="none" w:color="auto"/>
                      <w:lang w:val="en-US" w:eastAsia="zh-CN" w:bidi="ar-SA"/>
                    </w:rPr>
                  </w:pPr>
                  <w:r>
                    <w:rPr>
                      <w:rFonts w:ascii="Times New Roman" w:hAnsi="Times New Roman" w:eastAsia="宋体" w:cs="Times New Roman"/>
                      <w:i w:val="0"/>
                      <w:iCs w:val="0"/>
                      <w:color w:val="auto"/>
                      <w:sz w:val="18"/>
                      <w:szCs w:val="18"/>
                      <w:highlight w:val="yellow"/>
                      <w:u w:val="none" w:color="auto"/>
                      <w:lang w:val="en-US" w:eastAsia="zh-CN" w:bidi="ar-SA"/>
                    </w:rPr>
                    <w:t>资源利用要求</w:t>
                  </w:r>
                </w:p>
              </w:tc>
              <w:tc>
                <w:tcPr>
                  <w:tcW w:w="3569" w:type="pct"/>
                  <w:tcBorders>
                    <w:tl2br w:val="nil"/>
                    <w:tr2bl w:val="nil"/>
                  </w:tcBorders>
                  <w:vAlign w:val="center"/>
                </w:tcPr>
                <w:p w14:paraId="12DB1224">
                  <w:pPr>
                    <w:pStyle w:val="33"/>
                    <w:jc w:val="left"/>
                    <w:rPr>
                      <w:rFonts w:ascii="Times New Roman" w:hAnsi="Times New Roman" w:eastAsia="宋体" w:cs="Times New Roman"/>
                      <w:i w:val="0"/>
                      <w:iCs w:val="0"/>
                      <w:color w:val="auto"/>
                      <w:sz w:val="18"/>
                      <w:szCs w:val="18"/>
                      <w:highlight w:val="yellow"/>
                      <w:u w:val="none" w:color="auto"/>
                      <w:lang w:val="en-US" w:eastAsia="zh-CN" w:bidi="ar-SA"/>
                    </w:rPr>
                  </w:pPr>
                  <w:r>
                    <w:rPr>
                      <w:rFonts w:ascii="Times New Roman" w:hAnsi="Times New Roman" w:eastAsia="宋体" w:cs="Times New Roman"/>
                      <w:i w:val="0"/>
                      <w:iCs w:val="0"/>
                      <w:color w:val="auto"/>
                      <w:sz w:val="18"/>
                      <w:szCs w:val="18"/>
                      <w:highlight w:val="yellow"/>
                      <w:u w:val="none" w:color="auto"/>
                      <w:lang w:val="en-US" w:eastAsia="zh-CN" w:bidi="ar-SA"/>
                    </w:rPr>
                    <w:t>推动园区串联用水，分质用水、一水多用和循环利用，提高水资源利用率，建设节水型园区。火电、钢铁、造纸、化工、粮食深加工等重点行业应推广实施节水改造和污水深度处理。鼓励钢铁、火电、纺织印染、造纸、石油石化、化工、制革等高耗水企业废水深度处理回用。</w:t>
                  </w:r>
                </w:p>
              </w:tc>
              <w:tc>
                <w:tcPr>
                  <w:tcW w:w="825" w:type="pct"/>
                  <w:tcBorders>
                    <w:tl2br w:val="nil"/>
                    <w:tr2bl w:val="nil"/>
                  </w:tcBorders>
                  <w:vAlign w:val="center"/>
                </w:tcPr>
                <w:p w14:paraId="36711C20">
                  <w:pPr>
                    <w:pStyle w:val="33"/>
                    <w:jc w:val="left"/>
                    <w:rPr>
                      <w:rFonts w:ascii="Times New Roman" w:hAnsi="Times New Roman" w:eastAsia="宋体" w:cs="Times New Roman"/>
                      <w:i w:val="0"/>
                      <w:iCs w:val="0"/>
                      <w:color w:val="auto"/>
                      <w:sz w:val="18"/>
                      <w:szCs w:val="18"/>
                      <w:highlight w:val="yellow"/>
                      <w:u w:val="none" w:color="auto"/>
                      <w:lang w:val="en-US" w:eastAsia="zh-CN" w:bidi="ar-SA"/>
                    </w:rPr>
                  </w:pPr>
                  <w:r>
                    <w:rPr>
                      <w:rFonts w:hint="eastAsia" w:ascii="Times New Roman" w:hAnsi="Times New Roman" w:eastAsia="宋体" w:cs="Times New Roman"/>
                      <w:i w:val="0"/>
                      <w:iCs w:val="0"/>
                      <w:color w:val="auto"/>
                      <w:sz w:val="18"/>
                      <w:szCs w:val="18"/>
                      <w:highlight w:val="yellow"/>
                      <w:u w:val="none" w:color="auto"/>
                      <w:lang w:val="en-US" w:eastAsia="zh-CN" w:bidi="ar-SA"/>
                    </w:rPr>
                    <w:t>不涉及</w:t>
                  </w:r>
                </w:p>
              </w:tc>
            </w:tr>
            <w:tr w14:paraId="1132AE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05" w:type="pct"/>
                  <w:vMerge w:val="continue"/>
                  <w:tcBorders>
                    <w:tl2br w:val="nil"/>
                    <w:tr2bl w:val="nil"/>
                  </w:tcBorders>
                  <w:vAlign w:val="center"/>
                </w:tcPr>
                <w:p w14:paraId="4675EEBF">
                  <w:pPr>
                    <w:pStyle w:val="33"/>
                    <w:jc w:val="center"/>
                    <w:rPr>
                      <w:rFonts w:ascii="Times New Roman" w:hAnsi="Times New Roman" w:eastAsia="宋体" w:cs="Times New Roman"/>
                      <w:i w:val="0"/>
                      <w:iCs w:val="0"/>
                      <w:color w:val="auto"/>
                      <w:sz w:val="18"/>
                      <w:szCs w:val="18"/>
                      <w:highlight w:val="yellow"/>
                      <w:u w:val="none" w:color="auto"/>
                      <w:lang w:val="en-US" w:eastAsia="zh-CN" w:bidi="ar-SA"/>
                    </w:rPr>
                  </w:pPr>
                </w:p>
              </w:tc>
              <w:tc>
                <w:tcPr>
                  <w:tcW w:w="3569" w:type="pct"/>
                  <w:tcBorders>
                    <w:tl2br w:val="nil"/>
                    <w:tr2bl w:val="nil"/>
                  </w:tcBorders>
                  <w:vAlign w:val="center"/>
                </w:tcPr>
                <w:p w14:paraId="75C6525A">
                  <w:pPr>
                    <w:pStyle w:val="33"/>
                    <w:jc w:val="left"/>
                    <w:rPr>
                      <w:rFonts w:ascii="Times New Roman" w:hAnsi="Times New Roman" w:eastAsia="宋体" w:cs="Times New Roman"/>
                      <w:i w:val="0"/>
                      <w:iCs w:val="0"/>
                      <w:color w:val="auto"/>
                      <w:sz w:val="18"/>
                      <w:szCs w:val="18"/>
                      <w:highlight w:val="yellow"/>
                      <w:u w:val="none" w:color="auto"/>
                      <w:lang w:val="en-US" w:eastAsia="zh-CN" w:bidi="ar-SA"/>
                    </w:rPr>
                  </w:pPr>
                  <w:r>
                    <w:rPr>
                      <w:rFonts w:ascii="Times New Roman" w:hAnsi="Times New Roman" w:eastAsia="宋体" w:cs="Times New Roman"/>
                      <w:i w:val="0"/>
                      <w:iCs w:val="0"/>
                      <w:color w:val="auto"/>
                      <w:sz w:val="18"/>
                      <w:szCs w:val="18"/>
                      <w:highlight w:val="yellow"/>
                      <w:u w:val="none" w:color="auto"/>
                      <w:lang w:val="en-US" w:eastAsia="zh-CN" w:bidi="ar-SA"/>
                    </w:rPr>
                    <w:t>按照《中华人民共和国黑土地保护法》《吉林省黑土地保护条例》实施黑土地保护，加大黑土区水土流失治理力度，发展保护性耕作，促进黑土地可持续发展。</w:t>
                  </w:r>
                </w:p>
              </w:tc>
              <w:tc>
                <w:tcPr>
                  <w:tcW w:w="825" w:type="pct"/>
                  <w:tcBorders>
                    <w:tl2br w:val="nil"/>
                    <w:tr2bl w:val="nil"/>
                  </w:tcBorders>
                  <w:vAlign w:val="center"/>
                </w:tcPr>
                <w:p w14:paraId="0EDEB289">
                  <w:pPr>
                    <w:pStyle w:val="33"/>
                    <w:jc w:val="left"/>
                    <w:rPr>
                      <w:rFonts w:ascii="Times New Roman" w:hAnsi="Times New Roman" w:eastAsia="宋体" w:cs="Times New Roman"/>
                      <w:i w:val="0"/>
                      <w:iCs w:val="0"/>
                      <w:color w:val="auto"/>
                      <w:sz w:val="18"/>
                      <w:szCs w:val="18"/>
                      <w:highlight w:val="yellow"/>
                      <w:u w:val="none" w:color="auto"/>
                      <w:lang w:val="en-US" w:eastAsia="zh-CN" w:bidi="ar-SA"/>
                    </w:rPr>
                  </w:pPr>
                  <w:r>
                    <w:rPr>
                      <w:rFonts w:hint="eastAsia" w:ascii="Times New Roman" w:hAnsi="Times New Roman" w:eastAsia="宋体" w:cs="Times New Roman"/>
                      <w:i w:val="0"/>
                      <w:iCs w:val="0"/>
                      <w:color w:val="auto"/>
                      <w:sz w:val="18"/>
                      <w:szCs w:val="18"/>
                      <w:highlight w:val="yellow"/>
                      <w:u w:val="none" w:color="auto"/>
                      <w:lang w:val="en-US" w:eastAsia="zh-CN" w:bidi="ar-SA"/>
                    </w:rPr>
                    <w:t>不涉及</w:t>
                  </w:r>
                </w:p>
              </w:tc>
            </w:tr>
            <w:tr w14:paraId="041062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5" w:type="pct"/>
                  <w:vMerge w:val="continue"/>
                  <w:tcBorders>
                    <w:tl2br w:val="nil"/>
                    <w:tr2bl w:val="nil"/>
                  </w:tcBorders>
                  <w:vAlign w:val="center"/>
                </w:tcPr>
                <w:p w14:paraId="4276A058">
                  <w:pPr>
                    <w:pStyle w:val="33"/>
                    <w:jc w:val="center"/>
                    <w:rPr>
                      <w:rFonts w:ascii="Times New Roman" w:hAnsi="Times New Roman" w:eastAsia="宋体" w:cs="Times New Roman"/>
                      <w:i w:val="0"/>
                      <w:iCs w:val="0"/>
                      <w:color w:val="auto"/>
                      <w:sz w:val="18"/>
                      <w:szCs w:val="18"/>
                      <w:highlight w:val="yellow"/>
                      <w:u w:val="none" w:color="auto"/>
                      <w:lang w:val="en-US" w:eastAsia="zh-CN" w:bidi="ar-SA"/>
                    </w:rPr>
                  </w:pPr>
                </w:p>
              </w:tc>
              <w:tc>
                <w:tcPr>
                  <w:tcW w:w="3569" w:type="pct"/>
                  <w:tcBorders>
                    <w:tl2br w:val="nil"/>
                    <w:tr2bl w:val="nil"/>
                  </w:tcBorders>
                  <w:vAlign w:val="center"/>
                </w:tcPr>
                <w:p w14:paraId="353ADCA7">
                  <w:pPr>
                    <w:pStyle w:val="33"/>
                    <w:jc w:val="left"/>
                    <w:rPr>
                      <w:rFonts w:ascii="Times New Roman" w:hAnsi="Times New Roman" w:eastAsia="宋体" w:cs="Times New Roman"/>
                      <w:i w:val="0"/>
                      <w:iCs w:val="0"/>
                      <w:color w:val="auto"/>
                      <w:sz w:val="18"/>
                      <w:szCs w:val="18"/>
                      <w:highlight w:val="yellow"/>
                      <w:u w:val="none" w:color="auto"/>
                      <w:lang w:val="en-US" w:eastAsia="zh-CN" w:bidi="ar-SA"/>
                    </w:rPr>
                  </w:pPr>
                  <w:r>
                    <w:rPr>
                      <w:rFonts w:ascii="Times New Roman" w:hAnsi="Times New Roman" w:eastAsia="宋体" w:cs="Times New Roman"/>
                      <w:i w:val="0"/>
                      <w:iCs w:val="0"/>
                      <w:color w:val="auto"/>
                      <w:sz w:val="18"/>
                      <w:szCs w:val="18"/>
                      <w:highlight w:val="yellow"/>
                      <w:u w:val="none" w:color="auto"/>
                      <w:lang w:val="en-US" w:eastAsia="zh-CN" w:bidi="ar-SA"/>
                    </w:rPr>
                    <w:t>严格控制煤炭消费。制定煤炭消费总量控制目标，规范实行煤炭消费控制目标管理和减量（等量）替代管理。</w:t>
                  </w:r>
                </w:p>
              </w:tc>
              <w:tc>
                <w:tcPr>
                  <w:tcW w:w="825" w:type="pct"/>
                  <w:tcBorders>
                    <w:tl2br w:val="nil"/>
                    <w:tr2bl w:val="nil"/>
                  </w:tcBorders>
                  <w:vAlign w:val="center"/>
                </w:tcPr>
                <w:p w14:paraId="73A07F56">
                  <w:pPr>
                    <w:pStyle w:val="33"/>
                    <w:jc w:val="left"/>
                    <w:rPr>
                      <w:rFonts w:ascii="Times New Roman" w:hAnsi="Times New Roman" w:eastAsia="宋体" w:cs="Times New Roman"/>
                      <w:i w:val="0"/>
                      <w:iCs w:val="0"/>
                      <w:color w:val="auto"/>
                      <w:sz w:val="18"/>
                      <w:szCs w:val="18"/>
                      <w:highlight w:val="yellow"/>
                      <w:u w:val="none" w:color="auto"/>
                      <w:lang w:val="en-US" w:eastAsia="zh-CN" w:bidi="ar-SA"/>
                    </w:rPr>
                  </w:pPr>
                  <w:r>
                    <w:rPr>
                      <w:rFonts w:hint="eastAsia" w:ascii="Times New Roman" w:hAnsi="Times New Roman" w:eastAsia="宋体" w:cs="Times New Roman"/>
                      <w:i w:val="0"/>
                      <w:iCs w:val="0"/>
                      <w:color w:val="auto"/>
                      <w:sz w:val="18"/>
                      <w:szCs w:val="18"/>
                      <w:highlight w:val="yellow"/>
                      <w:u w:val="none" w:color="auto"/>
                      <w:lang w:val="en-US" w:eastAsia="zh-CN" w:bidi="ar-SA"/>
                    </w:rPr>
                    <w:t>不涉及</w:t>
                  </w:r>
                </w:p>
              </w:tc>
            </w:tr>
            <w:tr w14:paraId="457432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5" w:type="pct"/>
                  <w:vMerge w:val="continue"/>
                  <w:tcBorders>
                    <w:tl2br w:val="nil"/>
                    <w:tr2bl w:val="nil"/>
                  </w:tcBorders>
                  <w:vAlign w:val="center"/>
                </w:tcPr>
                <w:p w14:paraId="2A805B1C">
                  <w:pPr>
                    <w:pStyle w:val="33"/>
                    <w:jc w:val="center"/>
                    <w:rPr>
                      <w:rFonts w:ascii="Times New Roman" w:hAnsi="Times New Roman" w:eastAsia="宋体" w:cs="Times New Roman"/>
                      <w:i w:val="0"/>
                      <w:iCs w:val="0"/>
                      <w:color w:val="auto"/>
                      <w:sz w:val="18"/>
                      <w:szCs w:val="18"/>
                      <w:highlight w:val="yellow"/>
                      <w:u w:val="none" w:color="auto"/>
                      <w:lang w:val="en-US" w:eastAsia="zh-CN" w:bidi="ar-SA"/>
                    </w:rPr>
                  </w:pPr>
                </w:p>
              </w:tc>
              <w:tc>
                <w:tcPr>
                  <w:tcW w:w="3569" w:type="pct"/>
                  <w:tcBorders>
                    <w:tl2br w:val="nil"/>
                    <w:tr2bl w:val="nil"/>
                  </w:tcBorders>
                  <w:vAlign w:val="center"/>
                </w:tcPr>
                <w:p w14:paraId="4110753E">
                  <w:pPr>
                    <w:pStyle w:val="33"/>
                    <w:jc w:val="left"/>
                    <w:rPr>
                      <w:rFonts w:ascii="Times New Roman" w:hAnsi="Times New Roman" w:eastAsia="宋体" w:cs="Times New Roman"/>
                      <w:i w:val="0"/>
                      <w:iCs w:val="0"/>
                      <w:color w:val="auto"/>
                      <w:sz w:val="18"/>
                      <w:szCs w:val="18"/>
                      <w:highlight w:val="yellow"/>
                      <w:u w:val="none" w:color="auto"/>
                      <w:lang w:val="en-US" w:eastAsia="zh-CN" w:bidi="ar-SA"/>
                    </w:rPr>
                  </w:pPr>
                  <w:r>
                    <w:rPr>
                      <w:rFonts w:ascii="Times New Roman" w:hAnsi="Times New Roman" w:eastAsia="宋体" w:cs="Times New Roman"/>
                      <w:i w:val="0"/>
                      <w:iCs w:val="0"/>
                      <w:color w:val="auto"/>
                      <w:sz w:val="18"/>
                      <w:szCs w:val="18"/>
                      <w:highlight w:val="yellow"/>
                      <w:u w:val="none" w:color="auto"/>
                      <w:lang w:val="en-US" w:eastAsia="zh-CN" w:bidi="ar-SA"/>
                    </w:rPr>
                    <w:t>高污染燃料禁燃区内，禁止销售、燃用高污染燃料；禁止新建、扩建燃用高污染燃料的设施。</w:t>
                  </w:r>
                </w:p>
              </w:tc>
              <w:tc>
                <w:tcPr>
                  <w:tcW w:w="825" w:type="pct"/>
                  <w:tcBorders>
                    <w:tl2br w:val="nil"/>
                    <w:tr2bl w:val="nil"/>
                  </w:tcBorders>
                  <w:vAlign w:val="center"/>
                </w:tcPr>
                <w:p w14:paraId="2601FE8B">
                  <w:pPr>
                    <w:pStyle w:val="33"/>
                    <w:jc w:val="left"/>
                    <w:rPr>
                      <w:rFonts w:ascii="Times New Roman" w:hAnsi="Times New Roman" w:eastAsia="宋体" w:cs="Times New Roman"/>
                      <w:i w:val="0"/>
                      <w:iCs w:val="0"/>
                      <w:color w:val="auto"/>
                      <w:sz w:val="18"/>
                      <w:szCs w:val="18"/>
                      <w:highlight w:val="yellow"/>
                      <w:u w:val="none" w:color="auto"/>
                      <w:lang w:val="en-US" w:eastAsia="zh-CN" w:bidi="ar-SA"/>
                    </w:rPr>
                  </w:pPr>
                  <w:r>
                    <w:rPr>
                      <w:rFonts w:hint="eastAsia" w:ascii="Times New Roman" w:hAnsi="Times New Roman" w:eastAsia="宋体" w:cs="Times New Roman"/>
                      <w:i w:val="0"/>
                      <w:iCs w:val="0"/>
                      <w:color w:val="auto"/>
                      <w:sz w:val="18"/>
                      <w:szCs w:val="18"/>
                      <w:highlight w:val="yellow"/>
                      <w:u w:val="none" w:color="auto"/>
                      <w:lang w:val="en-US" w:eastAsia="zh-CN" w:bidi="ar-SA"/>
                    </w:rPr>
                    <w:t>不涉及</w:t>
                  </w:r>
                </w:p>
              </w:tc>
            </w:tr>
          </w:tbl>
          <w:p w14:paraId="77419712">
            <w:pPr>
              <w:pStyle w:val="80"/>
              <w:spacing w:line="240" w:lineRule="auto"/>
              <w:ind w:firstLine="420"/>
              <w:jc w:val="center"/>
              <w:rPr>
                <w:rFonts w:hint="eastAsia" w:cs="Times New Roman"/>
                <w:i/>
                <w:iCs/>
                <w:color w:val="auto"/>
                <w:u w:val="single" w:color="auto"/>
              </w:rPr>
            </w:pPr>
          </w:p>
          <w:p w14:paraId="796A746F">
            <w:pPr>
              <w:autoSpaceDE w:val="0"/>
              <w:autoSpaceDN w:val="0"/>
              <w:adjustRightInd w:val="0"/>
              <w:snapToGrid w:val="0"/>
              <w:spacing w:line="360" w:lineRule="auto"/>
              <w:ind w:firstLine="420" w:firstLineChars="200"/>
              <w:rPr>
                <w:i/>
                <w:iCs/>
                <w:color w:val="auto"/>
                <w:u w:val="single" w:color="auto"/>
              </w:rPr>
            </w:pPr>
            <w:r>
              <w:rPr>
                <w:i/>
                <w:iCs/>
                <w:color w:val="auto"/>
                <w:u w:val="single" w:color="auto"/>
              </w:rPr>
              <w:t>（2）</w:t>
            </w:r>
            <w:r>
              <w:rPr>
                <w:rFonts w:hint="eastAsia"/>
                <w:i/>
                <w:iCs/>
                <w:color w:val="auto"/>
                <w:u w:val="single" w:color="auto"/>
              </w:rPr>
              <w:t>与白山市生态环境准入清单符合性分析</w:t>
            </w:r>
          </w:p>
          <w:p w14:paraId="70DB7367">
            <w:pPr>
              <w:autoSpaceDE w:val="0"/>
              <w:autoSpaceDN w:val="0"/>
              <w:adjustRightInd w:val="0"/>
              <w:snapToGrid w:val="0"/>
              <w:jc w:val="center"/>
              <w:rPr>
                <w:b/>
                <w:bCs/>
                <w:i/>
                <w:iCs/>
                <w:color w:val="auto"/>
                <w:u w:val="single" w:color="auto"/>
              </w:rPr>
            </w:pPr>
            <w:r>
              <w:rPr>
                <w:b/>
                <w:i/>
                <w:iCs/>
                <w:color w:val="auto"/>
                <w:kern w:val="2"/>
                <w:u w:val="single" w:color="auto"/>
              </w:rPr>
              <w:t>表1-</w:t>
            </w:r>
            <w:r>
              <w:rPr>
                <w:rFonts w:hint="eastAsia"/>
                <w:b/>
                <w:i/>
                <w:iCs/>
                <w:color w:val="auto"/>
                <w:kern w:val="2"/>
                <w:u w:val="single" w:color="auto"/>
              </w:rPr>
              <w:t>2</w:t>
            </w:r>
            <w:r>
              <w:rPr>
                <w:b/>
                <w:i/>
                <w:iCs/>
                <w:color w:val="auto"/>
                <w:kern w:val="2"/>
                <w:u w:val="single" w:color="auto"/>
              </w:rPr>
              <w:t xml:space="preserve">  白山市</w:t>
            </w:r>
            <w:r>
              <w:rPr>
                <w:b/>
                <w:i/>
                <w:iCs/>
                <w:color w:val="auto"/>
                <w:u w:val="single" w:color="auto"/>
              </w:rPr>
              <w:t>生态准入清单符合性分析一览表</w:t>
            </w:r>
          </w:p>
          <w:tbl>
            <w:tblPr>
              <w:tblStyle w:val="24"/>
              <w:tblW w:w="4997"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813"/>
              <w:gridCol w:w="884"/>
              <w:gridCol w:w="3671"/>
              <w:gridCol w:w="1568"/>
            </w:tblGrid>
            <w:tr w14:paraId="108CACA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c>
                <w:tcPr>
                  <w:tcW w:w="586" w:type="pct"/>
                  <w:noWrap/>
                  <w:vAlign w:val="center"/>
                </w:tcPr>
                <w:p w14:paraId="7A8F3608">
                  <w:pPr>
                    <w:adjustRightInd w:val="0"/>
                    <w:snapToGrid w:val="0"/>
                    <w:jc w:val="center"/>
                    <w:rPr>
                      <w:i/>
                      <w:iCs/>
                      <w:color w:val="auto"/>
                      <w:sz w:val="18"/>
                      <w:szCs w:val="18"/>
                      <w:u w:val="single" w:color="auto"/>
                    </w:rPr>
                  </w:pPr>
                </w:p>
                <w:p w14:paraId="3A375680">
                  <w:pPr>
                    <w:adjustRightInd w:val="0"/>
                    <w:snapToGrid w:val="0"/>
                    <w:jc w:val="center"/>
                    <w:rPr>
                      <w:i/>
                      <w:iCs/>
                      <w:color w:val="auto"/>
                      <w:sz w:val="18"/>
                      <w:szCs w:val="18"/>
                      <w:u w:val="single" w:color="auto"/>
                    </w:rPr>
                  </w:pPr>
                </w:p>
              </w:tc>
              <w:tc>
                <w:tcPr>
                  <w:tcW w:w="3282" w:type="pct"/>
                  <w:gridSpan w:val="2"/>
                  <w:noWrap/>
                  <w:vAlign w:val="center"/>
                </w:tcPr>
                <w:p w14:paraId="012B66F2">
                  <w:pPr>
                    <w:adjustRightInd w:val="0"/>
                    <w:snapToGrid w:val="0"/>
                    <w:jc w:val="center"/>
                    <w:rPr>
                      <w:i/>
                      <w:iCs/>
                      <w:color w:val="auto"/>
                      <w:sz w:val="18"/>
                      <w:szCs w:val="18"/>
                      <w:u w:val="single" w:color="auto"/>
                    </w:rPr>
                  </w:pPr>
                  <w:r>
                    <w:rPr>
                      <w:i/>
                      <w:iCs/>
                      <w:color w:val="auto"/>
                      <w:sz w:val="18"/>
                      <w:szCs w:val="18"/>
                      <w:u w:val="single" w:color="auto"/>
                    </w:rPr>
                    <w:t>管控要求</w:t>
                  </w:r>
                </w:p>
              </w:tc>
              <w:tc>
                <w:tcPr>
                  <w:tcW w:w="1130" w:type="pct"/>
                  <w:noWrap/>
                  <w:vAlign w:val="center"/>
                </w:tcPr>
                <w:p w14:paraId="033228AC">
                  <w:pPr>
                    <w:adjustRightInd w:val="0"/>
                    <w:snapToGrid w:val="0"/>
                    <w:jc w:val="center"/>
                    <w:rPr>
                      <w:i/>
                      <w:iCs/>
                      <w:color w:val="auto"/>
                      <w:sz w:val="18"/>
                      <w:szCs w:val="18"/>
                      <w:u w:val="single" w:color="auto"/>
                    </w:rPr>
                  </w:pPr>
                  <w:r>
                    <w:rPr>
                      <w:i/>
                      <w:iCs/>
                      <w:color w:val="auto"/>
                      <w:sz w:val="18"/>
                      <w:szCs w:val="18"/>
                      <w:u w:val="single" w:color="auto"/>
                    </w:rPr>
                    <w:t>符合性</w:t>
                  </w:r>
                </w:p>
              </w:tc>
            </w:tr>
            <w:tr w14:paraId="1597D48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0" w:hRule="atLeast"/>
              </w:trPr>
              <w:tc>
                <w:tcPr>
                  <w:tcW w:w="586" w:type="pct"/>
                  <w:noWrap/>
                  <w:vAlign w:val="center"/>
                </w:tcPr>
                <w:p w14:paraId="5D9FE117">
                  <w:pPr>
                    <w:adjustRightInd w:val="0"/>
                    <w:snapToGrid w:val="0"/>
                    <w:jc w:val="center"/>
                    <w:rPr>
                      <w:i/>
                      <w:iCs/>
                      <w:color w:val="auto"/>
                      <w:sz w:val="18"/>
                      <w:szCs w:val="18"/>
                      <w:u w:val="single" w:color="auto"/>
                    </w:rPr>
                  </w:pPr>
                  <w:r>
                    <w:rPr>
                      <w:i/>
                      <w:iCs/>
                      <w:color w:val="auto"/>
                      <w:sz w:val="18"/>
                      <w:szCs w:val="18"/>
                      <w:u w:val="single" w:color="auto"/>
                    </w:rPr>
                    <w:t>空间布局约束</w:t>
                  </w:r>
                </w:p>
              </w:tc>
              <w:tc>
                <w:tcPr>
                  <w:tcW w:w="3282" w:type="pct"/>
                  <w:gridSpan w:val="2"/>
                  <w:noWrap/>
                </w:tcPr>
                <w:p w14:paraId="2E6871FC">
                  <w:pPr>
                    <w:adjustRightInd w:val="0"/>
                    <w:snapToGrid w:val="0"/>
                    <w:jc w:val="left"/>
                    <w:rPr>
                      <w:i/>
                      <w:iCs/>
                      <w:color w:val="auto"/>
                      <w:sz w:val="18"/>
                      <w:szCs w:val="18"/>
                      <w:u w:val="single" w:color="auto"/>
                    </w:rPr>
                  </w:pPr>
                  <w:r>
                    <w:rPr>
                      <w:i/>
                      <w:iCs/>
                      <w:color w:val="auto"/>
                      <w:sz w:val="18"/>
                      <w:szCs w:val="18"/>
                      <w:u w:val="single" w:color="auto"/>
                    </w:rPr>
                    <w:t>禁止在下列林地的采伐迹地种植人参：</w:t>
                  </w:r>
                </w:p>
                <w:p w14:paraId="71ACBBD0">
                  <w:pPr>
                    <w:adjustRightInd w:val="0"/>
                    <w:snapToGrid w:val="0"/>
                    <w:jc w:val="left"/>
                    <w:rPr>
                      <w:i/>
                      <w:iCs/>
                      <w:color w:val="auto"/>
                      <w:sz w:val="18"/>
                      <w:szCs w:val="18"/>
                      <w:u w:val="single" w:color="auto"/>
                    </w:rPr>
                  </w:pPr>
                  <w:r>
                    <w:rPr>
                      <w:i/>
                      <w:iCs/>
                      <w:color w:val="auto"/>
                      <w:sz w:val="18"/>
                      <w:szCs w:val="18"/>
                      <w:u w:val="single" w:color="auto"/>
                    </w:rPr>
                    <w:t>（1）自然保护区、森林公园、景区及其附近林地；</w:t>
                  </w:r>
                </w:p>
                <w:p w14:paraId="6F0EE6A5">
                  <w:pPr>
                    <w:adjustRightInd w:val="0"/>
                    <w:snapToGrid w:val="0"/>
                    <w:jc w:val="left"/>
                    <w:rPr>
                      <w:i/>
                      <w:iCs/>
                      <w:color w:val="auto"/>
                      <w:sz w:val="18"/>
                      <w:szCs w:val="18"/>
                      <w:u w:val="single" w:color="auto"/>
                    </w:rPr>
                  </w:pPr>
                  <w:r>
                    <w:rPr>
                      <w:i/>
                      <w:iCs/>
                      <w:color w:val="auto"/>
                      <w:sz w:val="18"/>
                      <w:szCs w:val="18"/>
                      <w:u w:val="single" w:color="auto"/>
                    </w:rPr>
                    <w:t>（2）江河源头和两岸林地；</w:t>
                  </w:r>
                </w:p>
                <w:p w14:paraId="06B6DE34">
                  <w:pPr>
                    <w:adjustRightInd w:val="0"/>
                    <w:snapToGrid w:val="0"/>
                    <w:jc w:val="left"/>
                    <w:rPr>
                      <w:i/>
                      <w:iCs/>
                      <w:color w:val="auto"/>
                      <w:sz w:val="18"/>
                      <w:szCs w:val="18"/>
                      <w:u w:val="single" w:color="auto"/>
                    </w:rPr>
                  </w:pPr>
                  <w:r>
                    <w:rPr>
                      <w:i/>
                      <w:iCs/>
                      <w:color w:val="auto"/>
                      <w:sz w:val="18"/>
                      <w:szCs w:val="18"/>
                      <w:u w:val="single" w:color="auto"/>
                    </w:rPr>
                    <w:t>（3）水库、湖泊周围等生态重要区位林地；</w:t>
                  </w:r>
                </w:p>
                <w:p w14:paraId="5F841FCB">
                  <w:pPr>
                    <w:adjustRightInd w:val="0"/>
                    <w:snapToGrid w:val="0"/>
                    <w:jc w:val="left"/>
                    <w:rPr>
                      <w:i/>
                      <w:iCs/>
                      <w:color w:val="auto"/>
                      <w:sz w:val="18"/>
                      <w:szCs w:val="18"/>
                      <w:u w:val="single" w:color="auto"/>
                    </w:rPr>
                  </w:pPr>
                  <w:r>
                    <w:rPr>
                      <w:i/>
                      <w:iCs/>
                      <w:color w:val="auto"/>
                      <w:sz w:val="18"/>
                      <w:szCs w:val="18"/>
                      <w:u w:val="single" w:color="auto"/>
                    </w:rPr>
                    <w:t>（4）国道、省道、县道两侧第一层山脊内林地；</w:t>
                  </w:r>
                </w:p>
                <w:p w14:paraId="3AEC110A">
                  <w:pPr>
                    <w:adjustRightInd w:val="0"/>
                    <w:snapToGrid w:val="0"/>
                    <w:jc w:val="left"/>
                    <w:rPr>
                      <w:i/>
                      <w:iCs/>
                      <w:color w:val="auto"/>
                      <w:sz w:val="18"/>
                      <w:szCs w:val="18"/>
                      <w:u w:val="single" w:color="auto"/>
                    </w:rPr>
                  </w:pPr>
                  <w:r>
                    <w:rPr>
                      <w:i/>
                      <w:iCs/>
                      <w:color w:val="auto"/>
                      <w:sz w:val="18"/>
                      <w:szCs w:val="18"/>
                      <w:u w:val="single" w:color="auto"/>
                    </w:rPr>
                    <w:t>（5）坡度在25度以上的林地；</w:t>
                  </w:r>
                </w:p>
                <w:p w14:paraId="78A7C8EF">
                  <w:pPr>
                    <w:adjustRightInd w:val="0"/>
                    <w:snapToGrid w:val="0"/>
                    <w:jc w:val="left"/>
                    <w:rPr>
                      <w:i/>
                      <w:iCs/>
                      <w:color w:val="auto"/>
                      <w:sz w:val="18"/>
                      <w:szCs w:val="18"/>
                      <w:u w:val="single" w:color="auto"/>
                    </w:rPr>
                  </w:pPr>
                  <w:r>
                    <w:rPr>
                      <w:i/>
                      <w:iCs/>
                      <w:color w:val="auto"/>
                      <w:sz w:val="18"/>
                      <w:szCs w:val="18"/>
                      <w:u w:val="single" w:color="auto"/>
                    </w:rPr>
                    <w:t>（6）山脊、沟壑等林地；</w:t>
                  </w:r>
                </w:p>
                <w:p w14:paraId="000A5B07">
                  <w:pPr>
                    <w:adjustRightInd w:val="0"/>
                    <w:snapToGrid w:val="0"/>
                    <w:jc w:val="left"/>
                    <w:rPr>
                      <w:i/>
                      <w:iCs/>
                      <w:color w:val="auto"/>
                      <w:sz w:val="18"/>
                      <w:szCs w:val="18"/>
                      <w:u w:val="single" w:color="auto"/>
                    </w:rPr>
                  </w:pPr>
                  <w:r>
                    <w:rPr>
                      <w:i/>
                      <w:iCs/>
                      <w:color w:val="auto"/>
                      <w:sz w:val="18"/>
                      <w:szCs w:val="18"/>
                      <w:u w:val="single" w:color="auto"/>
                    </w:rPr>
                    <w:t>（7）不符合人参种植标准和要求的其他林地。</w:t>
                  </w:r>
                </w:p>
              </w:tc>
              <w:tc>
                <w:tcPr>
                  <w:tcW w:w="1130" w:type="pct"/>
                  <w:noWrap/>
                  <w:vAlign w:val="center"/>
                </w:tcPr>
                <w:p w14:paraId="1EB5EEB2">
                  <w:pPr>
                    <w:adjustRightInd w:val="0"/>
                    <w:snapToGrid w:val="0"/>
                    <w:jc w:val="center"/>
                    <w:rPr>
                      <w:i/>
                      <w:iCs/>
                      <w:color w:val="auto"/>
                      <w:sz w:val="18"/>
                      <w:szCs w:val="18"/>
                      <w:u w:val="single" w:color="auto"/>
                    </w:rPr>
                  </w:pPr>
                  <w:r>
                    <w:rPr>
                      <w:rFonts w:hint="eastAsia"/>
                      <w:i/>
                      <w:iCs/>
                      <w:color w:val="auto"/>
                      <w:sz w:val="18"/>
                      <w:szCs w:val="18"/>
                      <w:u w:val="single" w:color="auto"/>
                    </w:rPr>
                    <w:t>项目不涉及</w:t>
                  </w:r>
                </w:p>
              </w:tc>
            </w:tr>
            <w:tr w14:paraId="6B0FAF6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586" w:type="pct"/>
                  <w:vMerge w:val="restart"/>
                  <w:noWrap/>
                  <w:vAlign w:val="center"/>
                </w:tcPr>
                <w:p w14:paraId="6766638E">
                  <w:pPr>
                    <w:adjustRightInd w:val="0"/>
                    <w:snapToGrid w:val="0"/>
                    <w:jc w:val="center"/>
                    <w:rPr>
                      <w:i/>
                      <w:iCs/>
                      <w:color w:val="auto"/>
                      <w:sz w:val="18"/>
                      <w:szCs w:val="18"/>
                      <w:u w:val="single" w:color="auto"/>
                    </w:rPr>
                  </w:pPr>
                  <w:r>
                    <w:rPr>
                      <w:i/>
                      <w:iCs/>
                      <w:color w:val="auto"/>
                      <w:sz w:val="18"/>
                      <w:szCs w:val="18"/>
                      <w:u w:val="single" w:color="auto"/>
                    </w:rPr>
                    <w:t>污染物排放管控</w:t>
                  </w:r>
                </w:p>
              </w:tc>
              <w:tc>
                <w:tcPr>
                  <w:tcW w:w="637" w:type="pct"/>
                  <w:vMerge w:val="restart"/>
                  <w:noWrap/>
                  <w:vAlign w:val="center"/>
                </w:tcPr>
                <w:p w14:paraId="07E8F354">
                  <w:pPr>
                    <w:adjustRightInd w:val="0"/>
                    <w:snapToGrid w:val="0"/>
                    <w:jc w:val="center"/>
                    <w:rPr>
                      <w:i/>
                      <w:iCs/>
                      <w:color w:val="auto"/>
                      <w:sz w:val="18"/>
                      <w:szCs w:val="18"/>
                      <w:u w:val="single" w:color="auto"/>
                    </w:rPr>
                  </w:pPr>
                  <w:r>
                    <w:rPr>
                      <w:i/>
                      <w:iCs/>
                      <w:color w:val="auto"/>
                      <w:sz w:val="18"/>
                      <w:szCs w:val="18"/>
                      <w:u w:val="single" w:color="auto"/>
                    </w:rPr>
                    <w:t>环境质量目标</w:t>
                  </w:r>
                </w:p>
              </w:tc>
              <w:tc>
                <w:tcPr>
                  <w:tcW w:w="2645" w:type="pct"/>
                  <w:noWrap/>
                  <w:vAlign w:val="center"/>
                </w:tcPr>
                <w:p w14:paraId="5FDAEF72">
                  <w:pPr>
                    <w:adjustRightInd w:val="0"/>
                    <w:snapToGrid w:val="0"/>
                    <w:jc w:val="center"/>
                    <w:rPr>
                      <w:i/>
                      <w:iCs/>
                      <w:color w:val="auto"/>
                      <w:sz w:val="18"/>
                      <w:szCs w:val="18"/>
                      <w:u w:val="single" w:color="auto"/>
                    </w:rPr>
                  </w:pPr>
                  <w:r>
                    <w:rPr>
                      <w:i/>
                      <w:iCs/>
                      <w:color w:val="auto"/>
                      <w:sz w:val="18"/>
                      <w:szCs w:val="18"/>
                      <w:u w:val="single" w:color="auto"/>
                    </w:rPr>
                    <w:t>大气环境质量持续改善。2025年全市PM</w:t>
                  </w:r>
                  <w:r>
                    <w:rPr>
                      <w:i/>
                      <w:iCs/>
                      <w:color w:val="auto"/>
                      <w:sz w:val="18"/>
                      <w:szCs w:val="18"/>
                      <w:u w:val="single" w:color="auto"/>
                      <w:vertAlign w:val="subscript"/>
                    </w:rPr>
                    <w:t>2.5</w:t>
                  </w:r>
                  <w:r>
                    <w:rPr>
                      <w:i/>
                      <w:iCs/>
                      <w:color w:val="auto"/>
                      <w:sz w:val="18"/>
                      <w:szCs w:val="18"/>
                      <w:u w:val="single" w:color="auto"/>
                    </w:rPr>
                    <w:t>年均浓度达到25微克/立方米，优良天数比例保持在98%左右；2035年允许波动，不能恶化（沙尘影响不计入）。</w:t>
                  </w:r>
                </w:p>
              </w:tc>
              <w:tc>
                <w:tcPr>
                  <w:tcW w:w="1130" w:type="pct"/>
                  <w:noWrap/>
                  <w:vAlign w:val="center"/>
                </w:tcPr>
                <w:p w14:paraId="2AE1780F">
                  <w:pPr>
                    <w:adjustRightInd w:val="0"/>
                    <w:snapToGrid w:val="0"/>
                    <w:jc w:val="center"/>
                    <w:rPr>
                      <w:i/>
                      <w:iCs/>
                      <w:color w:val="auto"/>
                      <w:sz w:val="18"/>
                      <w:szCs w:val="18"/>
                      <w:u w:val="single" w:color="auto"/>
                    </w:rPr>
                  </w:pPr>
                  <w:r>
                    <w:rPr>
                      <w:i/>
                      <w:iCs/>
                      <w:color w:val="auto"/>
                      <w:sz w:val="18"/>
                      <w:szCs w:val="18"/>
                      <w:u w:val="single" w:color="auto"/>
                    </w:rPr>
                    <w:t>符合。本项目废气达标排放。</w:t>
                  </w:r>
                </w:p>
              </w:tc>
            </w:tr>
            <w:tr w14:paraId="042F0A4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84" w:hRule="atLeast"/>
              </w:trPr>
              <w:tc>
                <w:tcPr>
                  <w:tcW w:w="586" w:type="pct"/>
                  <w:vMerge w:val="continue"/>
                  <w:tcBorders>
                    <w:bottom w:val="single" w:color="auto" w:sz="4" w:space="0"/>
                  </w:tcBorders>
                  <w:noWrap/>
                  <w:vAlign w:val="center"/>
                </w:tcPr>
                <w:p w14:paraId="1DCC3D79">
                  <w:pPr>
                    <w:adjustRightInd w:val="0"/>
                    <w:snapToGrid w:val="0"/>
                    <w:jc w:val="center"/>
                    <w:rPr>
                      <w:i/>
                      <w:iCs/>
                      <w:color w:val="auto"/>
                      <w:sz w:val="18"/>
                      <w:szCs w:val="18"/>
                      <w:u w:val="single" w:color="auto"/>
                    </w:rPr>
                  </w:pPr>
                </w:p>
              </w:tc>
              <w:tc>
                <w:tcPr>
                  <w:tcW w:w="637" w:type="pct"/>
                  <w:vMerge w:val="continue"/>
                  <w:noWrap/>
                </w:tcPr>
                <w:p w14:paraId="0950FEF0">
                  <w:pPr>
                    <w:adjustRightInd w:val="0"/>
                    <w:snapToGrid w:val="0"/>
                    <w:jc w:val="center"/>
                    <w:rPr>
                      <w:i/>
                      <w:iCs/>
                      <w:color w:val="auto"/>
                      <w:sz w:val="18"/>
                      <w:szCs w:val="18"/>
                      <w:u w:val="single" w:color="auto"/>
                    </w:rPr>
                  </w:pPr>
                </w:p>
              </w:tc>
              <w:tc>
                <w:tcPr>
                  <w:tcW w:w="2645" w:type="pct"/>
                  <w:noWrap/>
                  <w:vAlign w:val="center"/>
                </w:tcPr>
                <w:p w14:paraId="660718FF">
                  <w:pPr>
                    <w:adjustRightInd w:val="0"/>
                    <w:snapToGrid w:val="0"/>
                    <w:jc w:val="center"/>
                    <w:rPr>
                      <w:i/>
                      <w:iCs/>
                      <w:color w:val="auto"/>
                      <w:sz w:val="18"/>
                      <w:szCs w:val="18"/>
                      <w:u w:val="single" w:color="auto"/>
                    </w:rPr>
                  </w:pPr>
                  <w:r>
                    <w:rPr>
                      <w:i/>
                      <w:iCs/>
                      <w:color w:val="auto"/>
                      <w:sz w:val="18"/>
                      <w:szCs w:val="18"/>
                      <w:u w:val="single" w:color="auto"/>
                    </w:rPr>
                    <w:t>水环境质量持续改善。2025年，地表水国控断面达到或优于Ⅲ类水体比例保持100%，饮用水水源地水质稳定达标。</w:t>
                  </w:r>
                </w:p>
              </w:tc>
              <w:tc>
                <w:tcPr>
                  <w:tcW w:w="1130" w:type="pct"/>
                  <w:noWrap/>
                  <w:vAlign w:val="center"/>
                </w:tcPr>
                <w:p w14:paraId="44688D0B">
                  <w:pPr>
                    <w:adjustRightInd w:val="0"/>
                    <w:snapToGrid w:val="0"/>
                    <w:jc w:val="center"/>
                    <w:rPr>
                      <w:i/>
                      <w:iCs/>
                      <w:color w:val="auto"/>
                      <w:sz w:val="18"/>
                      <w:szCs w:val="18"/>
                      <w:u w:val="single" w:color="auto"/>
                    </w:rPr>
                  </w:pPr>
                  <w:r>
                    <w:rPr>
                      <w:i/>
                      <w:iCs/>
                      <w:color w:val="auto"/>
                      <w:sz w:val="18"/>
                      <w:szCs w:val="18"/>
                      <w:u w:val="single" w:color="auto"/>
                    </w:rPr>
                    <w:t>符合。本项目无废水排放。</w:t>
                  </w:r>
                </w:p>
              </w:tc>
            </w:tr>
            <w:tr w14:paraId="1835AF7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586" w:type="pct"/>
                  <w:vMerge w:val="restart"/>
                  <w:noWrap/>
                  <w:vAlign w:val="center"/>
                </w:tcPr>
                <w:p w14:paraId="33543C2B">
                  <w:pPr>
                    <w:adjustRightInd w:val="0"/>
                    <w:snapToGrid w:val="0"/>
                    <w:jc w:val="center"/>
                    <w:rPr>
                      <w:i/>
                      <w:iCs/>
                      <w:color w:val="auto"/>
                      <w:sz w:val="18"/>
                      <w:szCs w:val="18"/>
                      <w:u w:val="single" w:color="auto"/>
                    </w:rPr>
                  </w:pPr>
                  <w:r>
                    <w:rPr>
                      <w:i/>
                      <w:iCs/>
                      <w:color w:val="auto"/>
                      <w:sz w:val="18"/>
                      <w:szCs w:val="18"/>
                      <w:u w:val="single" w:color="auto"/>
                    </w:rPr>
                    <w:t>资源利用要求</w:t>
                  </w:r>
                </w:p>
              </w:tc>
              <w:tc>
                <w:tcPr>
                  <w:tcW w:w="637" w:type="pct"/>
                  <w:noWrap/>
                  <w:vAlign w:val="center"/>
                </w:tcPr>
                <w:p w14:paraId="59BC76D4">
                  <w:pPr>
                    <w:adjustRightInd w:val="0"/>
                    <w:snapToGrid w:val="0"/>
                    <w:jc w:val="center"/>
                    <w:rPr>
                      <w:i/>
                      <w:iCs/>
                      <w:color w:val="auto"/>
                      <w:sz w:val="18"/>
                      <w:szCs w:val="18"/>
                      <w:u w:val="single" w:color="auto"/>
                    </w:rPr>
                  </w:pPr>
                  <w:r>
                    <w:rPr>
                      <w:i/>
                      <w:iCs/>
                      <w:color w:val="auto"/>
                      <w:sz w:val="18"/>
                      <w:szCs w:val="18"/>
                      <w:u w:val="single" w:color="auto"/>
                    </w:rPr>
                    <w:t>水资源</w:t>
                  </w:r>
                </w:p>
              </w:tc>
              <w:tc>
                <w:tcPr>
                  <w:tcW w:w="2645" w:type="pct"/>
                  <w:noWrap/>
                  <w:vAlign w:val="center"/>
                </w:tcPr>
                <w:p w14:paraId="02715618">
                  <w:pPr>
                    <w:adjustRightInd w:val="0"/>
                    <w:snapToGrid w:val="0"/>
                    <w:jc w:val="center"/>
                    <w:rPr>
                      <w:i/>
                      <w:iCs/>
                      <w:color w:val="auto"/>
                      <w:sz w:val="18"/>
                      <w:szCs w:val="18"/>
                      <w:u w:val="single" w:color="auto"/>
                    </w:rPr>
                  </w:pPr>
                  <w:r>
                    <w:rPr>
                      <w:i/>
                      <w:iCs/>
                      <w:color w:val="auto"/>
                      <w:sz w:val="18"/>
                      <w:szCs w:val="18"/>
                      <w:u w:val="single" w:color="auto"/>
                    </w:rPr>
                    <w:t>2025年用水量控制在2.24亿立方米，2035年用水量控制在4.8亿立方米。</w:t>
                  </w:r>
                </w:p>
              </w:tc>
              <w:tc>
                <w:tcPr>
                  <w:tcW w:w="1130" w:type="pct"/>
                  <w:noWrap/>
                  <w:vAlign w:val="center"/>
                </w:tcPr>
                <w:p w14:paraId="2A089FE6">
                  <w:pPr>
                    <w:adjustRightInd w:val="0"/>
                    <w:snapToGrid w:val="0"/>
                    <w:rPr>
                      <w:i/>
                      <w:iCs/>
                      <w:color w:val="auto"/>
                      <w:sz w:val="18"/>
                      <w:szCs w:val="18"/>
                      <w:u w:val="single" w:color="auto"/>
                    </w:rPr>
                  </w:pPr>
                  <w:r>
                    <w:rPr>
                      <w:rFonts w:hint="eastAsia"/>
                      <w:i/>
                      <w:iCs/>
                      <w:color w:val="auto"/>
                      <w:sz w:val="18"/>
                      <w:szCs w:val="18"/>
                      <w:u w:val="single" w:color="auto"/>
                    </w:rPr>
                    <w:t>项目生产用水循环使用，不外排</w:t>
                  </w:r>
                </w:p>
              </w:tc>
            </w:tr>
            <w:tr w14:paraId="02F9FF7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211" w:hRule="atLeast"/>
              </w:trPr>
              <w:tc>
                <w:tcPr>
                  <w:tcW w:w="586" w:type="pct"/>
                  <w:vMerge w:val="continue"/>
                  <w:noWrap/>
                  <w:vAlign w:val="center"/>
                </w:tcPr>
                <w:p w14:paraId="242E33D4">
                  <w:pPr>
                    <w:adjustRightInd w:val="0"/>
                    <w:snapToGrid w:val="0"/>
                    <w:jc w:val="center"/>
                    <w:rPr>
                      <w:i/>
                      <w:iCs/>
                      <w:color w:val="auto"/>
                      <w:sz w:val="18"/>
                      <w:szCs w:val="18"/>
                      <w:u w:val="single" w:color="auto"/>
                    </w:rPr>
                  </w:pPr>
                </w:p>
              </w:tc>
              <w:tc>
                <w:tcPr>
                  <w:tcW w:w="637" w:type="pct"/>
                  <w:tcBorders>
                    <w:bottom w:val="single" w:color="auto" w:sz="4" w:space="0"/>
                  </w:tcBorders>
                  <w:noWrap/>
                  <w:vAlign w:val="center"/>
                </w:tcPr>
                <w:p w14:paraId="4E0CDBED">
                  <w:pPr>
                    <w:adjustRightInd w:val="0"/>
                    <w:snapToGrid w:val="0"/>
                    <w:jc w:val="center"/>
                    <w:rPr>
                      <w:i/>
                      <w:iCs/>
                      <w:color w:val="auto"/>
                      <w:sz w:val="18"/>
                      <w:szCs w:val="18"/>
                      <w:u w:val="single" w:color="auto"/>
                    </w:rPr>
                  </w:pPr>
                  <w:r>
                    <w:rPr>
                      <w:i/>
                      <w:iCs/>
                      <w:color w:val="auto"/>
                      <w:sz w:val="18"/>
                      <w:szCs w:val="18"/>
                      <w:u w:val="single" w:color="auto"/>
                    </w:rPr>
                    <w:t>土地资源</w:t>
                  </w:r>
                </w:p>
              </w:tc>
              <w:tc>
                <w:tcPr>
                  <w:tcW w:w="2645" w:type="pct"/>
                  <w:tcBorders>
                    <w:bottom w:val="single" w:color="auto" w:sz="4" w:space="0"/>
                  </w:tcBorders>
                  <w:noWrap/>
                  <w:vAlign w:val="center"/>
                </w:tcPr>
                <w:p w14:paraId="1769498C">
                  <w:pPr>
                    <w:adjustRightInd w:val="0"/>
                    <w:snapToGrid w:val="0"/>
                    <w:jc w:val="center"/>
                    <w:rPr>
                      <w:i/>
                      <w:iCs/>
                      <w:color w:val="auto"/>
                      <w:sz w:val="18"/>
                      <w:szCs w:val="18"/>
                      <w:u w:val="single" w:color="auto"/>
                    </w:rPr>
                  </w:pPr>
                  <w:r>
                    <w:rPr>
                      <w:i/>
                      <w:iCs/>
                      <w:color w:val="auto"/>
                      <w:sz w:val="18"/>
                      <w:szCs w:val="18"/>
                      <w:u w:val="single" w:color="auto"/>
                    </w:rPr>
                    <w:t>2025年耕地保有量不低于1059.01平方千米；永久基本农田保护面积不低于708.71平方千米；城镇开发边界控制在184.25平方千米以内。</w:t>
                  </w:r>
                </w:p>
              </w:tc>
              <w:tc>
                <w:tcPr>
                  <w:tcW w:w="1130" w:type="pct"/>
                  <w:tcBorders>
                    <w:bottom w:val="single" w:color="auto" w:sz="4" w:space="0"/>
                  </w:tcBorders>
                  <w:noWrap/>
                  <w:vAlign w:val="center"/>
                </w:tcPr>
                <w:p w14:paraId="02C991B9">
                  <w:pPr>
                    <w:adjustRightInd w:val="0"/>
                    <w:snapToGrid w:val="0"/>
                    <w:rPr>
                      <w:i/>
                      <w:iCs/>
                      <w:color w:val="auto"/>
                      <w:sz w:val="18"/>
                      <w:szCs w:val="18"/>
                      <w:u w:val="single" w:color="auto"/>
                    </w:rPr>
                  </w:pPr>
                  <w:r>
                    <w:rPr>
                      <w:rFonts w:hint="eastAsia"/>
                      <w:i/>
                      <w:iCs/>
                      <w:color w:val="auto"/>
                      <w:sz w:val="18"/>
                      <w:szCs w:val="18"/>
                      <w:u w:val="single" w:color="auto"/>
                    </w:rPr>
                    <w:t>项目租用现有厂区，</w:t>
                  </w:r>
                  <w:r>
                    <w:rPr>
                      <w:i/>
                      <w:iCs/>
                      <w:color w:val="auto"/>
                      <w:sz w:val="18"/>
                      <w:szCs w:val="18"/>
                      <w:u w:val="single" w:color="auto"/>
                    </w:rPr>
                    <w:t>不涉及</w:t>
                  </w:r>
                  <w:r>
                    <w:rPr>
                      <w:rFonts w:hint="eastAsia"/>
                      <w:i/>
                      <w:iCs/>
                      <w:color w:val="auto"/>
                      <w:sz w:val="18"/>
                      <w:szCs w:val="18"/>
                      <w:u w:val="single" w:color="auto"/>
                    </w:rPr>
                    <w:t>占用耕地</w:t>
                  </w:r>
                </w:p>
              </w:tc>
            </w:tr>
            <w:tr w14:paraId="189465A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24" w:hRule="atLeast"/>
              </w:trPr>
              <w:tc>
                <w:tcPr>
                  <w:tcW w:w="586" w:type="pct"/>
                  <w:vMerge w:val="continue"/>
                  <w:noWrap/>
                  <w:vAlign w:val="center"/>
                </w:tcPr>
                <w:p w14:paraId="15732A2F">
                  <w:pPr>
                    <w:adjustRightInd w:val="0"/>
                    <w:snapToGrid w:val="0"/>
                    <w:jc w:val="center"/>
                    <w:rPr>
                      <w:i/>
                      <w:iCs/>
                      <w:color w:val="auto"/>
                      <w:sz w:val="18"/>
                      <w:szCs w:val="18"/>
                      <w:u w:val="single" w:color="auto"/>
                    </w:rPr>
                  </w:pPr>
                </w:p>
              </w:tc>
              <w:tc>
                <w:tcPr>
                  <w:tcW w:w="637" w:type="pct"/>
                  <w:tcBorders>
                    <w:top w:val="single" w:color="auto" w:sz="4" w:space="0"/>
                  </w:tcBorders>
                  <w:noWrap/>
                  <w:vAlign w:val="center"/>
                </w:tcPr>
                <w:p w14:paraId="3E742279">
                  <w:pPr>
                    <w:adjustRightInd w:val="0"/>
                    <w:snapToGrid w:val="0"/>
                    <w:jc w:val="center"/>
                    <w:rPr>
                      <w:i/>
                      <w:iCs/>
                      <w:color w:val="auto"/>
                      <w:sz w:val="18"/>
                      <w:szCs w:val="18"/>
                      <w:u w:val="single" w:color="auto"/>
                    </w:rPr>
                  </w:pPr>
                  <w:r>
                    <w:rPr>
                      <w:i/>
                      <w:iCs/>
                      <w:color w:val="auto"/>
                      <w:sz w:val="18"/>
                      <w:szCs w:val="18"/>
                      <w:u w:val="single" w:color="auto"/>
                    </w:rPr>
                    <w:t>能源</w:t>
                  </w:r>
                </w:p>
              </w:tc>
              <w:tc>
                <w:tcPr>
                  <w:tcW w:w="2645" w:type="pct"/>
                  <w:tcBorders>
                    <w:top w:val="single" w:color="auto" w:sz="4" w:space="0"/>
                  </w:tcBorders>
                  <w:noWrap/>
                  <w:vAlign w:val="center"/>
                </w:tcPr>
                <w:p w14:paraId="426A7A47">
                  <w:pPr>
                    <w:adjustRightInd w:val="0"/>
                    <w:snapToGrid w:val="0"/>
                    <w:jc w:val="center"/>
                    <w:rPr>
                      <w:i/>
                      <w:iCs/>
                      <w:color w:val="auto"/>
                      <w:sz w:val="18"/>
                      <w:szCs w:val="18"/>
                      <w:u w:val="single" w:color="auto"/>
                    </w:rPr>
                  </w:pPr>
                  <w:r>
                    <w:rPr>
                      <w:i/>
                      <w:iCs/>
                      <w:color w:val="auto"/>
                      <w:sz w:val="18"/>
                      <w:szCs w:val="18"/>
                      <w:u w:val="single" w:color="auto"/>
                    </w:rPr>
                    <w:t>2025年，煤炭消费总量控制在451.74万吨以内，非化石能源消费比重达到15%。</w:t>
                  </w:r>
                </w:p>
              </w:tc>
              <w:tc>
                <w:tcPr>
                  <w:tcW w:w="1130" w:type="pct"/>
                  <w:tcBorders>
                    <w:top w:val="single" w:color="auto" w:sz="4" w:space="0"/>
                  </w:tcBorders>
                  <w:noWrap/>
                  <w:vAlign w:val="center"/>
                </w:tcPr>
                <w:p w14:paraId="25F12D53">
                  <w:pPr>
                    <w:adjustRightInd w:val="0"/>
                    <w:snapToGrid w:val="0"/>
                    <w:jc w:val="center"/>
                    <w:rPr>
                      <w:i/>
                      <w:iCs/>
                      <w:color w:val="auto"/>
                      <w:sz w:val="18"/>
                      <w:szCs w:val="18"/>
                      <w:u w:val="single" w:color="auto"/>
                    </w:rPr>
                  </w:pPr>
                  <w:r>
                    <w:rPr>
                      <w:rFonts w:hint="eastAsia"/>
                      <w:i/>
                      <w:iCs/>
                      <w:color w:val="auto"/>
                      <w:sz w:val="18"/>
                      <w:szCs w:val="18"/>
                      <w:u w:val="single" w:color="auto"/>
                    </w:rPr>
                    <w:t>项目不涉及煤炭消耗</w:t>
                  </w:r>
                </w:p>
              </w:tc>
            </w:tr>
          </w:tbl>
          <w:p w14:paraId="4CA50BD0">
            <w:pPr>
              <w:widowControl/>
              <w:adjustRightInd w:val="0"/>
              <w:snapToGrid w:val="0"/>
              <w:ind w:firstLine="200" w:firstLineChars="200"/>
              <w:rPr>
                <w:i/>
                <w:iCs/>
                <w:color w:val="auto"/>
                <w:sz w:val="10"/>
                <w:szCs w:val="10"/>
                <w:u w:val="single" w:color="auto"/>
              </w:rPr>
            </w:pPr>
          </w:p>
          <w:p w14:paraId="76A9BF16">
            <w:pPr>
              <w:widowControl/>
              <w:spacing w:line="360" w:lineRule="auto"/>
              <w:ind w:firstLine="420" w:firstLineChars="200"/>
              <w:rPr>
                <w:i/>
                <w:iCs/>
                <w:color w:val="auto"/>
                <w:u w:val="single" w:color="auto"/>
              </w:rPr>
            </w:pPr>
            <w:r>
              <w:rPr>
                <w:rFonts w:hint="eastAsia"/>
                <w:i/>
                <w:iCs/>
                <w:color w:val="auto"/>
                <w:u w:val="single" w:color="auto"/>
              </w:rPr>
              <w:t>（3）项目与管控单元的符合性分析</w:t>
            </w:r>
          </w:p>
          <w:p w14:paraId="11DDC960">
            <w:pPr>
              <w:keepNext w:val="0"/>
              <w:keepLines w:val="0"/>
              <w:widowControl/>
              <w:suppressLineNumbers w:val="0"/>
              <w:spacing w:before="0" w:beforeAutospacing="0" w:after="0" w:afterAutospacing="0" w:line="360" w:lineRule="auto"/>
              <w:ind w:left="0" w:right="0" w:firstLine="420" w:firstLineChars="200"/>
              <w:rPr>
                <w:rFonts w:hint="default" w:ascii="Times New Roman" w:hAnsi="Times New Roman" w:eastAsia="宋体" w:cs="Times New Roman"/>
                <w:i/>
                <w:iCs/>
                <w:color w:val="auto"/>
                <w:sz w:val="21"/>
                <w:szCs w:val="21"/>
                <w:u w:val="single" w:color="auto"/>
                <w:lang w:val="en-US" w:eastAsia="zh-CN"/>
              </w:rPr>
            </w:pPr>
            <w:r>
              <w:rPr>
                <w:rFonts w:hint="default" w:ascii="Times New Roman" w:hAnsi="Times New Roman" w:cs="Times New Roman"/>
                <w:i/>
                <w:iCs/>
                <w:color w:val="auto"/>
                <w:sz w:val="21"/>
                <w:szCs w:val="21"/>
                <w:u w:val="single" w:color="auto"/>
                <w:lang w:val="en-US" w:eastAsia="zh-CN"/>
              </w:rPr>
              <w:t>本项目位于</w:t>
            </w:r>
            <w:r>
              <w:rPr>
                <w:rFonts w:hint="default" w:ascii="Times New Roman" w:hAnsi="Times New Roman" w:cs="Times New Roman"/>
                <w:i/>
                <w:iCs/>
                <w:color w:val="auto"/>
                <w:sz w:val="21"/>
                <w:szCs w:val="21"/>
                <w:highlight w:val="none"/>
                <w:u w:val="single" w:color="auto"/>
                <w:lang w:eastAsia="zh-CN"/>
              </w:rPr>
              <w:t>白山市</w:t>
            </w:r>
            <w:r>
              <w:rPr>
                <w:rFonts w:hint="default" w:ascii="Times New Roman" w:hAnsi="Times New Roman" w:cs="Times New Roman"/>
                <w:i/>
                <w:iCs/>
                <w:color w:val="auto"/>
                <w:sz w:val="21"/>
                <w:szCs w:val="21"/>
                <w:highlight w:val="none"/>
                <w:u w:val="single" w:color="auto"/>
                <w:lang w:val="en-US" w:eastAsia="zh-CN"/>
              </w:rPr>
              <w:t>江源区石人镇林子头村，</w:t>
            </w:r>
            <w:r>
              <w:rPr>
                <w:rFonts w:hint="eastAsia" w:cs="Times New Roman"/>
                <w:i/>
                <w:iCs/>
                <w:color w:val="auto"/>
                <w:sz w:val="21"/>
                <w:szCs w:val="21"/>
                <w:u w:val="single" w:color="auto"/>
                <w:lang w:val="en-US" w:eastAsia="zh-CN"/>
              </w:rPr>
              <w:t>根据吉林省“三线一单”数据应用平台查询，项目位于高排放重点管控区、建设用地污染风险重点管控区、土地资源重点管控区、水环境一般管控区、生态空间一般管控区。</w:t>
            </w:r>
          </w:p>
          <w:p w14:paraId="66FCAC76">
            <w:pPr>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i/>
                <w:iCs/>
                <w:color w:val="auto"/>
                <w:sz w:val="21"/>
                <w:szCs w:val="21"/>
                <w:u w:val="single" w:color="auto"/>
                <w:lang w:val="en-US" w:eastAsia="zh-CN"/>
              </w:rPr>
            </w:pPr>
            <w:r>
              <w:rPr>
                <w:rFonts w:hint="eastAsia" w:cs="Times New Roman"/>
                <w:i/>
                <w:iCs/>
                <w:color w:val="auto"/>
                <w:sz w:val="21"/>
                <w:szCs w:val="21"/>
                <w:u w:val="single" w:color="auto"/>
                <w:lang w:val="en-US" w:eastAsia="zh-CN"/>
              </w:rPr>
              <w:t>项目与管控区符合性分析详见下表</w:t>
            </w:r>
            <w:r>
              <w:rPr>
                <w:rFonts w:hint="default" w:ascii="Times New Roman" w:hAnsi="Times New Roman" w:cs="Times New Roman"/>
                <w:i/>
                <w:iCs/>
                <w:color w:val="auto"/>
                <w:sz w:val="21"/>
                <w:szCs w:val="21"/>
                <w:u w:val="single" w:color="auto"/>
                <w:lang w:val="en-US" w:eastAsia="zh-CN"/>
              </w:rPr>
              <w:t>。</w:t>
            </w:r>
          </w:p>
          <w:p w14:paraId="732F08F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iCs/>
                <w:color w:val="auto"/>
                <w:sz w:val="21"/>
                <w:szCs w:val="21"/>
                <w:u w:val="single" w:color="auto"/>
              </w:rPr>
            </w:pPr>
            <w:r>
              <w:rPr>
                <w:rFonts w:hint="default" w:ascii="Times New Roman" w:hAnsi="Times New Roman" w:eastAsia="宋体" w:cs="Times New Roman"/>
                <w:b/>
                <w:bCs/>
                <w:i/>
                <w:iCs/>
                <w:color w:val="auto"/>
                <w:sz w:val="21"/>
                <w:szCs w:val="21"/>
                <w:u w:val="single" w:color="auto"/>
              </w:rPr>
              <w:t>表</w:t>
            </w:r>
            <w:r>
              <w:rPr>
                <w:rFonts w:hint="default" w:ascii="Times New Roman" w:hAnsi="Times New Roman" w:eastAsia="宋体" w:cs="Times New Roman"/>
                <w:b/>
                <w:bCs/>
                <w:i/>
                <w:iCs/>
                <w:color w:val="auto"/>
                <w:sz w:val="21"/>
                <w:szCs w:val="21"/>
                <w:u w:val="single" w:color="auto"/>
                <w:lang w:val="en-US" w:eastAsia="zh-CN"/>
              </w:rPr>
              <w:t>1-</w:t>
            </w:r>
            <w:r>
              <w:rPr>
                <w:rFonts w:hint="eastAsia" w:ascii="Times New Roman" w:hAnsi="Times New Roman" w:eastAsia="宋体" w:cs="Times New Roman"/>
                <w:b/>
                <w:bCs/>
                <w:i/>
                <w:iCs/>
                <w:color w:val="auto"/>
                <w:sz w:val="21"/>
                <w:szCs w:val="21"/>
                <w:u w:val="single" w:color="auto"/>
                <w:lang w:val="en-US" w:eastAsia="zh-CN"/>
              </w:rPr>
              <w:t>1</w:t>
            </w:r>
            <w:r>
              <w:rPr>
                <w:rFonts w:hint="default" w:ascii="Times New Roman" w:hAnsi="Times New Roman" w:eastAsia="宋体" w:cs="Times New Roman"/>
                <w:b/>
                <w:bCs/>
                <w:i/>
                <w:iCs/>
                <w:color w:val="auto"/>
                <w:sz w:val="21"/>
                <w:szCs w:val="21"/>
                <w:u w:val="single" w:color="auto"/>
              </w:rPr>
              <w:t xml:space="preserve">   本项目与环境管控单元要求相符性分析表</w:t>
            </w:r>
          </w:p>
          <w:tbl>
            <w:tblPr>
              <w:tblStyle w:val="24"/>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888"/>
              <w:gridCol w:w="461"/>
              <w:gridCol w:w="1021"/>
              <w:gridCol w:w="2540"/>
              <w:gridCol w:w="658"/>
            </w:tblGrid>
            <w:tr w14:paraId="624EAC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86" w:type="pct"/>
                  <w:noWrap w:val="0"/>
                  <w:vAlign w:val="center"/>
                </w:tcPr>
                <w:p w14:paraId="2B1CAEC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i/>
                      <w:iCs/>
                      <w:color w:val="auto"/>
                      <w:kern w:val="0"/>
                      <w:sz w:val="18"/>
                      <w:szCs w:val="18"/>
                      <w:u w:val="single" w:color="auto"/>
                      <w:lang w:val="en-US" w:eastAsia="zh-CN"/>
                    </w:rPr>
                  </w:pPr>
                  <w:r>
                    <w:rPr>
                      <w:rFonts w:hint="default" w:ascii="Times New Roman" w:hAnsi="Times New Roman" w:eastAsia="宋体" w:cs="Times New Roman"/>
                      <w:b w:val="0"/>
                      <w:bCs w:val="0"/>
                      <w:i/>
                      <w:iCs/>
                      <w:color w:val="auto"/>
                      <w:kern w:val="0"/>
                      <w:sz w:val="18"/>
                      <w:szCs w:val="18"/>
                      <w:u w:val="single" w:color="auto"/>
                    </w:rPr>
                    <w:t>环境</w:t>
                  </w:r>
                  <w:r>
                    <w:rPr>
                      <w:rFonts w:hint="eastAsia" w:cs="Times New Roman"/>
                      <w:b w:val="0"/>
                      <w:bCs w:val="0"/>
                      <w:i/>
                      <w:iCs/>
                      <w:color w:val="auto"/>
                      <w:kern w:val="0"/>
                      <w:sz w:val="18"/>
                      <w:szCs w:val="18"/>
                      <w:u w:val="single" w:color="auto"/>
                      <w:lang w:val="en-US" w:eastAsia="zh-CN"/>
                    </w:rPr>
                    <w:t>要素管控分区编码</w:t>
                  </w:r>
                </w:p>
              </w:tc>
              <w:tc>
                <w:tcPr>
                  <w:tcW w:w="640" w:type="pct"/>
                  <w:noWrap w:val="0"/>
                  <w:vAlign w:val="center"/>
                </w:tcPr>
                <w:p w14:paraId="7F36E51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i/>
                      <w:iCs/>
                      <w:color w:val="auto"/>
                      <w:kern w:val="0"/>
                      <w:sz w:val="18"/>
                      <w:szCs w:val="18"/>
                      <w:u w:val="single" w:color="auto"/>
                      <w:lang w:val="en-US" w:eastAsia="zh-CN"/>
                    </w:rPr>
                  </w:pPr>
                  <w:r>
                    <w:rPr>
                      <w:rFonts w:hint="eastAsia" w:cs="Times New Roman"/>
                      <w:b w:val="0"/>
                      <w:bCs w:val="0"/>
                      <w:i/>
                      <w:iCs/>
                      <w:color w:val="auto"/>
                      <w:kern w:val="0"/>
                      <w:sz w:val="18"/>
                      <w:szCs w:val="18"/>
                      <w:u w:val="single" w:color="auto"/>
                      <w:lang w:val="en-US" w:eastAsia="zh-CN"/>
                    </w:rPr>
                    <w:t>环境要素管控分区名称</w:t>
                  </w:r>
                </w:p>
              </w:tc>
              <w:tc>
                <w:tcPr>
                  <w:tcW w:w="332" w:type="pct"/>
                  <w:noWrap w:val="0"/>
                  <w:vAlign w:val="center"/>
                </w:tcPr>
                <w:p w14:paraId="3DFD299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i/>
                      <w:iCs/>
                      <w:color w:val="auto"/>
                      <w:kern w:val="0"/>
                      <w:sz w:val="18"/>
                      <w:szCs w:val="18"/>
                      <w:u w:val="single" w:color="auto"/>
                    </w:rPr>
                  </w:pPr>
                  <w:r>
                    <w:rPr>
                      <w:rFonts w:hint="default" w:ascii="Times New Roman" w:hAnsi="Times New Roman" w:eastAsia="宋体" w:cs="Times New Roman"/>
                      <w:b w:val="0"/>
                      <w:bCs w:val="0"/>
                      <w:i/>
                      <w:iCs/>
                      <w:color w:val="auto"/>
                      <w:kern w:val="0"/>
                      <w:sz w:val="18"/>
                      <w:szCs w:val="18"/>
                      <w:u w:val="single" w:color="auto"/>
                    </w:rPr>
                    <w:t>管控</w:t>
                  </w:r>
                  <w:r>
                    <w:rPr>
                      <w:rFonts w:hint="eastAsia" w:cs="Times New Roman"/>
                      <w:b w:val="0"/>
                      <w:bCs w:val="0"/>
                      <w:i/>
                      <w:iCs/>
                      <w:color w:val="auto"/>
                      <w:kern w:val="0"/>
                      <w:sz w:val="18"/>
                      <w:szCs w:val="18"/>
                      <w:u w:val="single" w:color="auto"/>
                      <w:lang w:val="en-US" w:eastAsia="zh-CN"/>
                    </w:rPr>
                    <w:t>区</w:t>
                  </w:r>
                  <w:r>
                    <w:rPr>
                      <w:rFonts w:hint="default" w:ascii="Times New Roman" w:hAnsi="Times New Roman" w:eastAsia="宋体" w:cs="Times New Roman"/>
                      <w:b w:val="0"/>
                      <w:bCs w:val="0"/>
                      <w:i/>
                      <w:iCs/>
                      <w:color w:val="auto"/>
                      <w:kern w:val="0"/>
                      <w:sz w:val="18"/>
                      <w:szCs w:val="18"/>
                      <w:u w:val="single" w:color="auto"/>
                    </w:rPr>
                    <w:t>分类</w:t>
                  </w:r>
                </w:p>
              </w:tc>
              <w:tc>
                <w:tcPr>
                  <w:tcW w:w="736" w:type="pct"/>
                  <w:noWrap w:val="0"/>
                  <w:vAlign w:val="center"/>
                </w:tcPr>
                <w:p w14:paraId="5D8242EC">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iCs/>
                      <w:color w:val="auto"/>
                      <w:kern w:val="0"/>
                      <w:sz w:val="18"/>
                      <w:szCs w:val="18"/>
                      <w:u w:val="single" w:color="auto"/>
                      <w:lang w:val="en-US" w:eastAsia="zh-CN"/>
                    </w:rPr>
                  </w:pPr>
                  <w:r>
                    <w:rPr>
                      <w:rFonts w:hint="eastAsia" w:cs="Times New Roman"/>
                      <w:b w:val="0"/>
                      <w:bCs w:val="0"/>
                      <w:i/>
                      <w:iCs/>
                      <w:color w:val="auto"/>
                      <w:kern w:val="0"/>
                      <w:sz w:val="18"/>
                      <w:szCs w:val="18"/>
                      <w:u w:val="single" w:color="auto"/>
                      <w:lang w:val="en-US" w:eastAsia="zh-CN"/>
                    </w:rPr>
                    <w:t>要素细类</w:t>
                  </w:r>
                </w:p>
              </w:tc>
              <w:tc>
                <w:tcPr>
                  <w:tcW w:w="1831" w:type="pct"/>
                  <w:noWrap w:val="0"/>
                  <w:vAlign w:val="center"/>
                </w:tcPr>
                <w:p w14:paraId="7E0200D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iCs/>
                      <w:color w:val="auto"/>
                      <w:kern w:val="0"/>
                      <w:sz w:val="18"/>
                      <w:szCs w:val="18"/>
                      <w:u w:val="single" w:color="auto"/>
                    </w:rPr>
                  </w:pPr>
                  <w:r>
                    <w:rPr>
                      <w:rFonts w:hint="default" w:ascii="Times New Roman" w:hAnsi="Times New Roman" w:eastAsia="宋体" w:cs="Times New Roman"/>
                      <w:b w:val="0"/>
                      <w:bCs w:val="0"/>
                      <w:i/>
                      <w:iCs/>
                      <w:color w:val="auto"/>
                      <w:kern w:val="0"/>
                      <w:sz w:val="18"/>
                      <w:szCs w:val="18"/>
                      <w:u w:val="single" w:color="auto"/>
                    </w:rPr>
                    <w:t>管控要求</w:t>
                  </w:r>
                </w:p>
              </w:tc>
              <w:tc>
                <w:tcPr>
                  <w:tcW w:w="474" w:type="pct"/>
                  <w:noWrap w:val="0"/>
                  <w:vAlign w:val="center"/>
                </w:tcPr>
                <w:p w14:paraId="11D7594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iCs/>
                      <w:color w:val="auto"/>
                      <w:kern w:val="0"/>
                      <w:sz w:val="18"/>
                      <w:szCs w:val="18"/>
                      <w:u w:val="single" w:color="auto"/>
                    </w:rPr>
                  </w:pPr>
                  <w:r>
                    <w:rPr>
                      <w:rFonts w:hint="default" w:ascii="Times New Roman" w:hAnsi="Times New Roman" w:eastAsia="宋体" w:cs="Times New Roman"/>
                      <w:b w:val="0"/>
                      <w:bCs w:val="0"/>
                      <w:i/>
                      <w:iCs/>
                      <w:color w:val="auto"/>
                      <w:kern w:val="0"/>
                      <w:sz w:val="18"/>
                      <w:szCs w:val="18"/>
                      <w:u w:val="single" w:color="auto"/>
                    </w:rPr>
                    <w:t>本项目</w:t>
                  </w:r>
                </w:p>
              </w:tc>
            </w:tr>
            <w:tr w14:paraId="2099E9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86" w:type="pct"/>
                  <w:vMerge w:val="restart"/>
                  <w:noWrap w:val="0"/>
                  <w:vAlign w:val="center"/>
                </w:tcPr>
                <w:p w14:paraId="2C6ED4C7">
                  <w:pPr>
                    <w:keepNext w:val="0"/>
                    <w:keepLines w:val="0"/>
                    <w:widowControl/>
                    <w:suppressLineNumbers w:val="0"/>
                    <w:spacing w:before="0" w:beforeAutospacing="0" w:after="0" w:afterAutospacing="0"/>
                    <w:ind w:left="0" w:right="0"/>
                    <w:jc w:val="center"/>
                    <w:rPr>
                      <w:rFonts w:hint="eastAsia" w:cs="Times New Roman"/>
                      <w:b w:val="0"/>
                      <w:bCs w:val="0"/>
                      <w:i/>
                      <w:iCs/>
                      <w:color w:val="auto"/>
                      <w:kern w:val="0"/>
                      <w:sz w:val="18"/>
                      <w:szCs w:val="18"/>
                      <w:u w:val="single" w:color="auto"/>
                      <w:lang w:val="en-US" w:eastAsia="zh-CN"/>
                    </w:rPr>
                  </w:pPr>
                  <w:r>
                    <w:rPr>
                      <w:rFonts w:hint="eastAsia" w:cs="Times New Roman"/>
                      <w:b w:val="0"/>
                      <w:bCs w:val="0"/>
                      <w:i/>
                      <w:iCs/>
                      <w:color w:val="auto"/>
                      <w:kern w:val="0"/>
                      <w:sz w:val="18"/>
                      <w:szCs w:val="18"/>
                      <w:u w:val="single" w:color="auto"/>
                      <w:lang w:val="en-US" w:eastAsia="zh-CN"/>
                    </w:rPr>
                    <w:t>YS2206052319010</w:t>
                  </w:r>
                </w:p>
                <w:p w14:paraId="0A9A36C1">
                  <w:pPr>
                    <w:keepNext w:val="0"/>
                    <w:keepLines w:val="0"/>
                    <w:widowControl/>
                    <w:suppressLineNumbers w:val="0"/>
                    <w:spacing w:before="0" w:beforeAutospacing="0" w:after="0" w:afterAutospacing="0"/>
                    <w:ind w:left="0" w:right="0"/>
                    <w:jc w:val="center"/>
                    <w:rPr>
                      <w:rFonts w:hint="eastAsia" w:cs="Times New Roman"/>
                      <w:b w:val="0"/>
                      <w:bCs w:val="0"/>
                      <w:i/>
                      <w:iCs/>
                      <w:color w:val="auto"/>
                      <w:kern w:val="0"/>
                      <w:sz w:val="18"/>
                      <w:szCs w:val="18"/>
                      <w:u w:val="single" w:color="auto"/>
                      <w:lang w:val="en-US" w:eastAsia="zh-CN"/>
                    </w:rPr>
                  </w:pPr>
                </w:p>
                <w:p w14:paraId="378893E8">
                  <w:pPr>
                    <w:keepNext w:val="0"/>
                    <w:keepLines w:val="0"/>
                    <w:widowControl/>
                    <w:suppressLineNumbers w:val="0"/>
                    <w:spacing w:before="0" w:beforeAutospacing="0" w:after="0" w:afterAutospacing="0"/>
                    <w:ind w:left="0" w:right="0"/>
                    <w:jc w:val="center"/>
                    <w:rPr>
                      <w:rFonts w:hint="eastAsia" w:cs="Times New Roman"/>
                      <w:b w:val="0"/>
                      <w:bCs w:val="0"/>
                      <w:i/>
                      <w:iCs/>
                      <w:color w:val="auto"/>
                      <w:kern w:val="0"/>
                      <w:sz w:val="18"/>
                      <w:szCs w:val="18"/>
                      <w:u w:val="single" w:color="auto"/>
                      <w:lang w:val="en-US" w:eastAsia="zh-CN"/>
                    </w:rPr>
                  </w:pPr>
                </w:p>
              </w:tc>
              <w:tc>
                <w:tcPr>
                  <w:tcW w:w="640" w:type="pct"/>
                  <w:vMerge w:val="restart"/>
                  <w:noWrap w:val="0"/>
                  <w:vAlign w:val="center"/>
                </w:tcPr>
                <w:p w14:paraId="059CB37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i/>
                      <w:iCs/>
                      <w:color w:val="auto"/>
                      <w:kern w:val="0"/>
                      <w:sz w:val="18"/>
                      <w:szCs w:val="18"/>
                      <w:u w:val="single" w:color="auto"/>
                      <w:lang w:val="en-US" w:eastAsia="zh-CN"/>
                    </w:rPr>
                  </w:pPr>
                  <w:r>
                    <w:rPr>
                      <w:rFonts w:hint="eastAsia" w:cs="Times New Roman"/>
                      <w:b w:val="0"/>
                      <w:bCs w:val="0"/>
                      <w:i/>
                      <w:iCs/>
                      <w:color w:val="auto"/>
                      <w:kern w:val="0"/>
                      <w:sz w:val="18"/>
                      <w:szCs w:val="18"/>
                      <w:u w:val="single" w:color="auto"/>
                      <w:lang w:val="en-US" w:eastAsia="zh-CN"/>
                    </w:rPr>
                    <w:t>江源区企业重点管控区</w:t>
                  </w:r>
                </w:p>
              </w:tc>
              <w:tc>
                <w:tcPr>
                  <w:tcW w:w="332" w:type="pct"/>
                  <w:vMerge w:val="restart"/>
                  <w:noWrap w:val="0"/>
                  <w:vAlign w:val="center"/>
                </w:tcPr>
                <w:p w14:paraId="21EEC9A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i/>
                      <w:iCs/>
                      <w:color w:val="auto"/>
                      <w:kern w:val="0"/>
                      <w:sz w:val="18"/>
                      <w:szCs w:val="18"/>
                      <w:u w:val="single" w:color="auto"/>
                      <w:lang w:val="en-US" w:eastAsia="zh-CN"/>
                    </w:rPr>
                  </w:pPr>
                  <w:r>
                    <w:rPr>
                      <w:rFonts w:hint="eastAsia" w:cs="Times New Roman"/>
                      <w:b w:val="0"/>
                      <w:bCs w:val="0"/>
                      <w:i/>
                      <w:iCs/>
                      <w:color w:val="auto"/>
                      <w:kern w:val="0"/>
                      <w:sz w:val="18"/>
                      <w:szCs w:val="18"/>
                      <w:u w:val="single" w:color="auto"/>
                      <w:lang w:val="en-US" w:eastAsia="zh-CN"/>
                    </w:rPr>
                    <w:t>重点管控区</w:t>
                  </w:r>
                </w:p>
              </w:tc>
              <w:tc>
                <w:tcPr>
                  <w:tcW w:w="736" w:type="pct"/>
                  <w:vMerge w:val="restart"/>
                  <w:noWrap w:val="0"/>
                  <w:vAlign w:val="center"/>
                </w:tcPr>
                <w:p w14:paraId="5908D068">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i/>
                      <w:iCs/>
                      <w:color w:val="auto"/>
                      <w:kern w:val="0"/>
                      <w:sz w:val="18"/>
                      <w:szCs w:val="18"/>
                      <w:u w:val="single" w:color="auto"/>
                      <w:lang w:val="en-US" w:eastAsia="zh-CN"/>
                    </w:rPr>
                  </w:pPr>
                  <w:r>
                    <w:rPr>
                      <w:rFonts w:hint="eastAsia" w:cs="Times New Roman"/>
                      <w:b w:val="0"/>
                      <w:bCs w:val="0"/>
                      <w:i/>
                      <w:iCs/>
                      <w:color w:val="auto"/>
                      <w:kern w:val="0"/>
                      <w:sz w:val="18"/>
                      <w:szCs w:val="18"/>
                      <w:u w:val="single" w:color="auto"/>
                      <w:lang w:val="en-US" w:eastAsia="zh-CN"/>
                    </w:rPr>
                    <w:t>大气</w:t>
                  </w:r>
                </w:p>
              </w:tc>
              <w:tc>
                <w:tcPr>
                  <w:tcW w:w="1831" w:type="pct"/>
                  <w:noWrap w:val="0"/>
                  <w:vAlign w:val="center"/>
                </w:tcPr>
                <w:p w14:paraId="4DDB89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default" w:ascii="Times New Roman" w:hAnsi="Times New Roman" w:eastAsia="宋体" w:cs="Times New Roman"/>
                      <w:i/>
                      <w:iCs/>
                      <w:color w:val="auto"/>
                      <w:sz w:val="18"/>
                      <w:szCs w:val="18"/>
                      <w:u w:val="single" w:color="auto"/>
                    </w:rPr>
                  </w:pPr>
                  <w:r>
                    <w:rPr>
                      <w:rFonts w:hint="default" w:ascii="Times New Roman" w:hAnsi="Times New Roman" w:eastAsia="宋体" w:cs="Times New Roman"/>
                      <w:i/>
                      <w:iCs/>
                      <w:color w:val="auto"/>
                      <w:sz w:val="18"/>
                      <w:szCs w:val="18"/>
                      <w:u w:val="single" w:color="auto"/>
                    </w:rPr>
                    <w:t>空间布局约束</w:t>
                  </w:r>
                  <w:r>
                    <w:rPr>
                      <w:rFonts w:hint="eastAsia" w:ascii="Times New Roman" w:hAnsi="Times New Roman" w:eastAsia="宋体" w:cs="Times New Roman"/>
                      <w:i/>
                      <w:iCs/>
                      <w:color w:val="auto"/>
                      <w:sz w:val="18"/>
                      <w:szCs w:val="18"/>
                      <w:u w:val="single" w:color="auto"/>
                      <w:lang w:eastAsia="zh-CN"/>
                    </w:rPr>
                    <w:t>：</w:t>
                  </w:r>
                  <w:r>
                    <w:rPr>
                      <w:rFonts w:hint="default" w:ascii="Times New Roman" w:hAnsi="Times New Roman" w:eastAsia="宋体" w:cs="Times New Roman"/>
                      <w:i/>
                      <w:iCs/>
                      <w:color w:val="auto"/>
                      <w:sz w:val="18"/>
                      <w:szCs w:val="18"/>
                      <w:u w:val="single" w:color="auto"/>
                    </w:rPr>
                    <w:t>严格控制钢铁、焦化、电解铝、铸造、水泥和平板玻璃等行业新增产能，列入去产能的钢铁企业退出时须一并退出配套的烧结、焦炉、高炉等设备。</w:t>
                  </w:r>
                </w:p>
              </w:tc>
              <w:tc>
                <w:tcPr>
                  <w:tcW w:w="474" w:type="pct"/>
                  <w:noWrap w:val="0"/>
                  <w:vAlign w:val="center"/>
                </w:tcPr>
                <w:p w14:paraId="22EA95F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iCs/>
                      <w:color w:val="auto"/>
                      <w:kern w:val="0"/>
                      <w:sz w:val="18"/>
                      <w:szCs w:val="18"/>
                      <w:u w:val="single" w:color="auto"/>
                      <w:lang w:val="en-US" w:eastAsia="zh-CN"/>
                    </w:rPr>
                  </w:pPr>
                  <w:r>
                    <w:rPr>
                      <w:rFonts w:hint="eastAsia" w:cs="Times New Roman"/>
                      <w:b w:val="0"/>
                      <w:bCs w:val="0"/>
                      <w:i/>
                      <w:iCs/>
                      <w:color w:val="auto"/>
                      <w:kern w:val="0"/>
                      <w:sz w:val="18"/>
                      <w:szCs w:val="18"/>
                      <w:u w:val="single" w:color="auto"/>
                      <w:lang w:val="en-US" w:eastAsia="zh-CN"/>
                    </w:rPr>
                    <w:t>不涉及</w:t>
                  </w:r>
                </w:p>
              </w:tc>
            </w:tr>
            <w:tr w14:paraId="00D35C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86" w:type="pct"/>
                  <w:vMerge w:val="continue"/>
                  <w:noWrap w:val="0"/>
                  <w:vAlign w:val="center"/>
                </w:tcPr>
                <w:p w14:paraId="62A68316">
                  <w:pPr>
                    <w:keepNext w:val="0"/>
                    <w:keepLines w:val="0"/>
                    <w:widowControl/>
                    <w:suppressLineNumbers w:val="0"/>
                    <w:spacing w:before="0" w:beforeAutospacing="0" w:after="0" w:afterAutospacing="0"/>
                    <w:ind w:left="0" w:right="0"/>
                    <w:jc w:val="center"/>
                    <w:rPr>
                      <w:rFonts w:hint="eastAsia" w:cs="Times New Roman"/>
                      <w:b w:val="0"/>
                      <w:bCs w:val="0"/>
                      <w:i/>
                      <w:iCs/>
                      <w:color w:val="auto"/>
                      <w:kern w:val="0"/>
                      <w:sz w:val="18"/>
                      <w:szCs w:val="18"/>
                      <w:u w:val="single" w:color="auto"/>
                      <w:lang w:val="en-US" w:eastAsia="zh-CN"/>
                    </w:rPr>
                  </w:pPr>
                </w:p>
              </w:tc>
              <w:tc>
                <w:tcPr>
                  <w:tcW w:w="640" w:type="pct"/>
                  <w:vMerge w:val="continue"/>
                  <w:noWrap w:val="0"/>
                  <w:vAlign w:val="center"/>
                </w:tcPr>
                <w:p w14:paraId="69F6D50E">
                  <w:pPr>
                    <w:keepNext w:val="0"/>
                    <w:keepLines w:val="0"/>
                    <w:widowControl/>
                    <w:suppressLineNumbers w:val="0"/>
                    <w:spacing w:before="0" w:beforeAutospacing="0" w:after="0" w:afterAutospacing="0"/>
                    <w:ind w:left="0" w:right="0"/>
                    <w:jc w:val="center"/>
                    <w:rPr>
                      <w:rFonts w:hint="eastAsia" w:cs="Times New Roman"/>
                      <w:b w:val="0"/>
                      <w:bCs w:val="0"/>
                      <w:i/>
                      <w:iCs/>
                      <w:color w:val="auto"/>
                      <w:kern w:val="0"/>
                      <w:sz w:val="18"/>
                      <w:szCs w:val="18"/>
                      <w:u w:val="single" w:color="auto"/>
                      <w:lang w:val="en-US" w:eastAsia="zh-CN"/>
                    </w:rPr>
                  </w:pPr>
                </w:p>
              </w:tc>
              <w:tc>
                <w:tcPr>
                  <w:tcW w:w="332" w:type="pct"/>
                  <w:vMerge w:val="continue"/>
                  <w:noWrap w:val="0"/>
                  <w:vAlign w:val="center"/>
                </w:tcPr>
                <w:p w14:paraId="27F99285">
                  <w:pPr>
                    <w:keepNext w:val="0"/>
                    <w:keepLines w:val="0"/>
                    <w:widowControl/>
                    <w:suppressLineNumbers w:val="0"/>
                    <w:spacing w:before="0" w:beforeAutospacing="0" w:after="0" w:afterAutospacing="0"/>
                    <w:ind w:left="0" w:right="0"/>
                    <w:jc w:val="center"/>
                    <w:rPr>
                      <w:rFonts w:hint="eastAsia" w:cs="Times New Roman"/>
                      <w:b w:val="0"/>
                      <w:bCs w:val="0"/>
                      <w:i/>
                      <w:iCs/>
                      <w:color w:val="auto"/>
                      <w:kern w:val="0"/>
                      <w:sz w:val="18"/>
                      <w:szCs w:val="18"/>
                      <w:u w:val="single" w:color="auto"/>
                      <w:lang w:val="en-US" w:eastAsia="zh-CN"/>
                    </w:rPr>
                  </w:pPr>
                </w:p>
              </w:tc>
              <w:tc>
                <w:tcPr>
                  <w:tcW w:w="736" w:type="pct"/>
                  <w:vMerge w:val="continue"/>
                  <w:noWrap w:val="0"/>
                  <w:vAlign w:val="center"/>
                </w:tcPr>
                <w:p w14:paraId="6A7CFE48">
                  <w:pPr>
                    <w:keepNext w:val="0"/>
                    <w:keepLines w:val="0"/>
                    <w:suppressLineNumbers w:val="0"/>
                    <w:spacing w:before="0" w:beforeAutospacing="0" w:after="0" w:afterAutospacing="0"/>
                    <w:ind w:left="0" w:right="0"/>
                    <w:jc w:val="center"/>
                    <w:rPr>
                      <w:rFonts w:hint="eastAsia" w:cs="Times New Roman"/>
                      <w:b w:val="0"/>
                      <w:bCs w:val="0"/>
                      <w:i/>
                      <w:iCs/>
                      <w:color w:val="auto"/>
                      <w:kern w:val="0"/>
                      <w:sz w:val="18"/>
                      <w:szCs w:val="18"/>
                      <w:u w:val="single" w:color="auto"/>
                      <w:lang w:val="en-US" w:eastAsia="zh-CN"/>
                    </w:rPr>
                  </w:pPr>
                </w:p>
              </w:tc>
              <w:tc>
                <w:tcPr>
                  <w:tcW w:w="1831" w:type="pct"/>
                  <w:noWrap w:val="0"/>
                  <w:vAlign w:val="center"/>
                </w:tcPr>
                <w:p w14:paraId="2D1A21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default" w:ascii="Times New Roman" w:hAnsi="Times New Roman" w:eastAsia="宋体" w:cs="Times New Roman"/>
                      <w:i/>
                      <w:iCs/>
                      <w:color w:val="auto"/>
                      <w:sz w:val="18"/>
                      <w:szCs w:val="18"/>
                      <w:u w:val="single" w:color="auto"/>
                    </w:rPr>
                  </w:pPr>
                  <w:r>
                    <w:rPr>
                      <w:rFonts w:hint="default" w:ascii="Times New Roman" w:hAnsi="Times New Roman" w:eastAsia="宋体" w:cs="Times New Roman"/>
                      <w:i/>
                      <w:iCs/>
                      <w:color w:val="auto"/>
                      <w:sz w:val="18"/>
                      <w:szCs w:val="18"/>
                      <w:u w:val="single" w:color="auto"/>
                    </w:rPr>
                    <w:t>污染物排放管控</w:t>
                  </w:r>
                  <w:r>
                    <w:rPr>
                      <w:rFonts w:hint="eastAsia" w:ascii="Times New Roman" w:hAnsi="Times New Roman" w:eastAsia="宋体" w:cs="Times New Roman"/>
                      <w:i/>
                      <w:iCs/>
                      <w:color w:val="auto"/>
                      <w:sz w:val="18"/>
                      <w:szCs w:val="18"/>
                      <w:u w:val="single" w:color="auto"/>
                      <w:lang w:eastAsia="zh-CN"/>
                    </w:rPr>
                    <w:t>：</w:t>
                  </w:r>
                  <w:r>
                    <w:rPr>
                      <w:rFonts w:hint="default" w:ascii="Times New Roman" w:hAnsi="Times New Roman" w:eastAsia="宋体" w:cs="Times New Roman"/>
                      <w:i/>
                      <w:iCs/>
                      <w:color w:val="auto"/>
                      <w:sz w:val="18"/>
                      <w:szCs w:val="18"/>
                      <w:u w:val="single" w:color="auto"/>
                    </w:rPr>
                    <w:t>深化工业污染治理，持续推进工业污染源全面达标排放，开展烟气高效脱硫脱硝、除尘改造。 推进重点行业污染治理升级改造。 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474" w:type="pct"/>
                  <w:noWrap w:val="0"/>
                  <w:vAlign w:val="center"/>
                </w:tcPr>
                <w:p w14:paraId="367AD0B3">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i/>
                      <w:iCs/>
                      <w:color w:val="auto"/>
                      <w:kern w:val="0"/>
                      <w:sz w:val="18"/>
                      <w:szCs w:val="18"/>
                      <w:u w:val="single" w:color="auto"/>
                      <w:lang w:val="en-US" w:eastAsia="zh-CN"/>
                    </w:rPr>
                  </w:pPr>
                  <w:r>
                    <w:rPr>
                      <w:rFonts w:hint="eastAsia" w:cs="Times New Roman"/>
                      <w:b w:val="0"/>
                      <w:bCs w:val="0"/>
                      <w:i/>
                      <w:iCs/>
                      <w:color w:val="auto"/>
                      <w:kern w:val="0"/>
                      <w:sz w:val="18"/>
                      <w:szCs w:val="18"/>
                      <w:u w:val="single" w:color="auto"/>
                      <w:lang w:val="en-US" w:eastAsia="zh-CN"/>
                    </w:rPr>
                    <w:t>不涉及</w:t>
                  </w:r>
                </w:p>
              </w:tc>
            </w:tr>
            <w:tr w14:paraId="79FE9D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986" w:type="pct"/>
                  <w:vMerge w:val="continue"/>
                  <w:noWrap w:val="0"/>
                  <w:vAlign w:val="center"/>
                </w:tcPr>
                <w:p w14:paraId="0B1EA9B3">
                  <w:pPr>
                    <w:keepNext w:val="0"/>
                    <w:keepLines w:val="0"/>
                    <w:widowControl/>
                    <w:suppressLineNumbers w:val="0"/>
                    <w:spacing w:before="0" w:beforeAutospacing="0" w:after="0" w:afterAutospacing="0"/>
                    <w:ind w:left="0" w:right="0"/>
                    <w:jc w:val="center"/>
                    <w:rPr>
                      <w:rFonts w:hint="eastAsia" w:cs="Times New Roman"/>
                      <w:b w:val="0"/>
                      <w:bCs w:val="0"/>
                      <w:i/>
                      <w:iCs/>
                      <w:color w:val="auto"/>
                      <w:kern w:val="0"/>
                      <w:sz w:val="18"/>
                      <w:szCs w:val="18"/>
                      <w:u w:val="single" w:color="auto"/>
                      <w:lang w:val="en-US" w:eastAsia="zh-CN"/>
                    </w:rPr>
                  </w:pPr>
                </w:p>
              </w:tc>
              <w:tc>
                <w:tcPr>
                  <w:tcW w:w="640" w:type="pct"/>
                  <w:vMerge w:val="continue"/>
                  <w:noWrap w:val="0"/>
                  <w:vAlign w:val="center"/>
                </w:tcPr>
                <w:p w14:paraId="2E2DE7AA">
                  <w:pPr>
                    <w:keepNext w:val="0"/>
                    <w:keepLines w:val="0"/>
                    <w:widowControl/>
                    <w:suppressLineNumbers w:val="0"/>
                    <w:spacing w:before="0" w:beforeAutospacing="0" w:after="0" w:afterAutospacing="0"/>
                    <w:ind w:left="0" w:right="0"/>
                    <w:jc w:val="center"/>
                    <w:rPr>
                      <w:rFonts w:hint="eastAsia" w:cs="Times New Roman"/>
                      <w:b w:val="0"/>
                      <w:bCs w:val="0"/>
                      <w:i/>
                      <w:iCs/>
                      <w:color w:val="auto"/>
                      <w:kern w:val="0"/>
                      <w:sz w:val="18"/>
                      <w:szCs w:val="18"/>
                      <w:u w:val="single" w:color="auto"/>
                      <w:lang w:val="en-US" w:eastAsia="zh-CN"/>
                    </w:rPr>
                  </w:pPr>
                </w:p>
              </w:tc>
              <w:tc>
                <w:tcPr>
                  <w:tcW w:w="332" w:type="pct"/>
                  <w:vMerge w:val="continue"/>
                  <w:noWrap w:val="0"/>
                  <w:vAlign w:val="center"/>
                </w:tcPr>
                <w:p w14:paraId="38191541">
                  <w:pPr>
                    <w:keepNext w:val="0"/>
                    <w:keepLines w:val="0"/>
                    <w:widowControl/>
                    <w:suppressLineNumbers w:val="0"/>
                    <w:spacing w:before="0" w:beforeAutospacing="0" w:after="0" w:afterAutospacing="0"/>
                    <w:ind w:left="0" w:right="0"/>
                    <w:jc w:val="center"/>
                    <w:rPr>
                      <w:rFonts w:hint="eastAsia" w:cs="Times New Roman"/>
                      <w:b w:val="0"/>
                      <w:bCs w:val="0"/>
                      <w:i/>
                      <w:iCs/>
                      <w:color w:val="auto"/>
                      <w:kern w:val="0"/>
                      <w:sz w:val="18"/>
                      <w:szCs w:val="18"/>
                      <w:u w:val="single" w:color="auto"/>
                      <w:lang w:val="en-US" w:eastAsia="zh-CN"/>
                    </w:rPr>
                  </w:pPr>
                </w:p>
              </w:tc>
              <w:tc>
                <w:tcPr>
                  <w:tcW w:w="736" w:type="pct"/>
                  <w:vMerge w:val="continue"/>
                  <w:noWrap w:val="0"/>
                  <w:vAlign w:val="center"/>
                </w:tcPr>
                <w:p w14:paraId="43D74E4B">
                  <w:pPr>
                    <w:keepNext w:val="0"/>
                    <w:keepLines w:val="0"/>
                    <w:suppressLineNumbers w:val="0"/>
                    <w:spacing w:before="0" w:beforeAutospacing="0" w:after="0" w:afterAutospacing="0"/>
                    <w:ind w:left="0" w:right="0"/>
                    <w:jc w:val="center"/>
                    <w:rPr>
                      <w:rFonts w:hint="eastAsia" w:cs="Times New Roman"/>
                      <w:b w:val="0"/>
                      <w:bCs w:val="0"/>
                      <w:i/>
                      <w:iCs/>
                      <w:color w:val="auto"/>
                      <w:kern w:val="0"/>
                      <w:sz w:val="18"/>
                      <w:szCs w:val="18"/>
                      <w:u w:val="single" w:color="auto"/>
                      <w:lang w:val="en-US" w:eastAsia="zh-CN"/>
                    </w:rPr>
                  </w:pPr>
                </w:p>
              </w:tc>
              <w:tc>
                <w:tcPr>
                  <w:tcW w:w="1831" w:type="pct"/>
                  <w:noWrap w:val="0"/>
                  <w:vAlign w:val="center"/>
                </w:tcPr>
                <w:p w14:paraId="0FF9C3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default" w:ascii="Times New Roman" w:hAnsi="Times New Roman" w:eastAsia="宋体" w:cs="Times New Roman"/>
                      <w:i/>
                      <w:iCs/>
                      <w:color w:val="auto"/>
                      <w:sz w:val="18"/>
                      <w:szCs w:val="18"/>
                      <w:u w:val="single" w:color="auto"/>
                      <w:lang w:val="en-US" w:eastAsia="zh-CN"/>
                    </w:rPr>
                  </w:pPr>
                  <w:r>
                    <w:rPr>
                      <w:rFonts w:hint="default" w:ascii="Times New Roman" w:hAnsi="Times New Roman" w:eastAsia="宋体" w:cs="Times New Roman"/>
                      <w:i/>
                      <w:iCs/>
                      <w:color w:val="auto"/>
                      <w:sz w:val="18"/>
                      <w:szCs w:val="18"/>
                      <w:u w:val="single" w:color="auto"/>
                    </w:rPr>
                    <w:t>环境风险管控</w:t>
                  </w:r>
                  <w:r>
                    <w:rPr>
                      <w:rFonts w:hint="eastAsia" w:ascii="Times New Roman" w:hAnsi="Times New Roman" w:eastAsia="宋体" w:cs="Times New Roman"/>
                      <w:i/>
                      <w:iCs/>
                      <w:color w:val="auto"/>
                      <w:sz w:val="18"/>
                      <w:szCs w:val="18"/>
                      <w:u w:val="single" w:color="auto"/>
                      <w:lang w:eastAsia="zh-CN"/>
                    </w:rPr>
                    <w:t>：</w:t>
                  </w:r>
                  <w:r>
                    <w:rPr>
                      <w:rFonts w:hint="eastAsia" w:ascii="Times New Roman" w:hAnsi="Times New Roman" w:eastAsia="宋体" w:cs="Times New Roman"/>
                      <w:i/>
                      <w:iCs/>
                      <w:color w:val="auto"/>
                      <w:sz w:val="18"/>
                      <w:szCs w:val="18"/>
                      <w:u w:val="single" w:color="auto"/>
                      <w:lang w:val="en-US" w:eastAsia="zh-CN"/>
                    </w:rPr>
                    <w:t>--</w:t>
                  </w:r>
                </w:p>
                <w:p w14:paraId="17FDC5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default" w:ascii="Times New Roman" w:hAnsi="Times New Roman" w:eastAsia="宋体" w:cs="Times New Roman"/>
                      <w:i/>
                      <w:iCs/>
                      <w:color w:val="auto"/>
                      <w:sz w:val="18"/>
                      <w:szCs w:val="18"/>
                      <w:u w:val="single" w:color="auto"/>
                    </w:rPr>
                  </w:pPr>
                  <w:r>
                    <w:rPr>
                      <w:rFonts w:hint="default" w:ascii="Times New Roman" w:hAnsi="Times New Roman" w:eastAsia="宋体" w:cs="Times New Roman"/>
                      <w:i/>
                      <w:iCs/>
                      <w:color w:val="auto"/>
                      <w:sz w:val="18"/>
                      <w:szCs w:val="18"/>
                      <w:u w:val="single" w:color="auto"/>
                    </w:rPr>
                    <w:t>资源开发效率</w:t>
                  </w:r>
                  <w:r>
                    <w:rPr>
                      <w:rFonts w:hint="eastAsia" w:ascii="Times New Roman" w:hAnsi="Times New Roman" w:eastAsia="宋体" w:cs="Times New Roman"/>
                      <w:i/>
                      <w:iCs/>
                      <w:color w:val="auto"/>
                      <w:sz w:val="18"/>
                      <w:szCs w:val="18"/>
                      <w:u w:val="single" w:color="auto"/>
                      <w:lang w:eastAsia="zh-CN"/>
                    </w:rPr>
                    <w:t>：</w:t>
                  </w:r>
                  <w:r>
                    <w:rPr>
                      <w:rFonts w:hint="default" w:ascii="Times New Roman" w:hAnsi="Times New Roman" w:eastAsia="宋体" w:cs="Times New Roman"/>
                      <w:i/>
                      <w:iCs/>
                      <w:color w:val="auto"/>
                      <w:sz w:val="18"/>
                      <w:szCs w:val="18"/>
                      <w:u w:val="single" w:color="auto"/>
                    </w:rPr>
                    <w:t>完成吉林省下达的产能置换要求。</w:t>
                  </w:r>
                </w:p>
              </w:tc>
              <w:tc>
                <w:tcPr>
                  <w:tcW w:w="474" w:type="pct"/>
                  <w:noWrap w:val="0"/>
                  <w:vAlign w:val="center"/>
                </w:tcPr>
                <w:p w14:paraId="4BFA2467">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i/>
                      <w:iCs/>
                      <w:color w:val="auto"/>
                      <w:kern w:val="0"/>
                      <w:sz w:val="18"/>
                      <w:szCs w:val="18"/>
                      <w:u w:val="single" w:color="auto"/>
                      <w:lang w:val="en-US" w:eastAsia="zh-CN"/>
                    </w:rPr>
                  </w:pPr>
                  <w:r>
                    <w:rPr>
                      <w:rFonts w:hint="eastAsia" w:cs="Times New Roman"/>
                      <w:b w:val="0"/>
                      <w:bCs w:val="0"/>
                      <w:i/>
                      <w:iCs/>
                      <w:color w:val="auto"/>
                      <w:kern w:val="0"/>
                      <w:sz w:val="18"/>
                      <w:szCs w:val="18"/>
                      <w:u w:val="single" w:color="auto"/>
                      <w:lang w:val="en-US" w:eastAsia="zh-CN"/>
                    </w:rPr>
                    <w:t>不涉及</w:t>
                  </w:r>
                </w:p>
              </w:tc>
            </w:tr>
            <w:tr w14:paraId="66D54B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986" w:type="pct"/>
                  <w:vMerge w:val="restart"/>
                  <w:noWrap w:val="0"/>
                  <w:vAlign w:val="center"/>
                </w:tcPr>
                <w:p w14:paraId="574EB684">
                  <w:pPr>
                    <w:keepNext w:val="0"/>
                    <w:keepLines w:val="0"/>
                    <w:widowControl/>
                    <w:suppressLineNumbers w:val="0"/>
                    <w:spacing w:before="0" w:beforeAutospacing="0" w:after="0" w:afterAutospacing="0"/>
                    <w:ind w:left="0" w:right="0"/>
                    <w:jc w:val="center"/>
                    <w:rPr>
                      <w:rFonts w:hint="default" w:cs="Times New Roman"/>
                      <w:b w:val="0"/>
                      <w:bCs w:val="0"/>
                      <w:i/>
                      <w:iCs/>
                      <w:color w:val="auto"/>
                      <w:kern w:val="0"/>
                      <w:sz w:val="18"/>
                      <w:szCs w:val="18"/>
                      <w:u w:val="single" w:color="auto"/>
                      <w:lang w:val="en-US" w:eastAsia="zh-CN"/>
                    </w:rPr>
                  </w:pPr>
                  <w:r>
                    <w:rPr>
                      <w:rFonts w:hint="eastAsia" w:cs="Times New Roman"/>
                      <w:b w:val="0"/>
                      <w:bCs w:val="0"/>
                      <w:i/>
                      <w:iCs/>
                      <w:color w:val="auto"/>
                      <w:kern w:val="0"/>
                      <w:sz w:val="18"/>
                      <w:szCs w:val="18"/>
                      <w:u w:val="single" w:color="auto"/>
                      <w:lang w:val="en-US" w:eastAsia="zh-CN"/>
                    </w:rPr>
                    <w:t>YS2206052420005</w:t>
                  </w:r>
                </w:p>
              </w:tc>
              <w:tc>
                <w:tcPr>
                  <w:tcW w:w="640" w:type="pct"/>
                  <w:vMerge w:val="restart"/>
                  <w:noWrap w:val="0"/>
                  <w:vAlign w:val="center"/>
                </w:tcPr>
                <w:p w14:paraId="04568E09">
                  <w:pPr>
                    <w:keepNext w:val="0"/>
                    <w:keepLines w:val="0"/>
                    <w:widowControl/>
                    <w:suppressLineNumbers w:val="0"/>
                    <w:spacing w:before="0" w:beforeAutospacing="0" w:after="0" w:afterAutospacing="0"/>
                    <w:ind w:left="0" w:right="0"/>
                    <w:jc w:val="center"/>
                    <w:rPr>
                      <w:rFonts w:hint="default" w:cs="Times New Roman"/>
                      <w:b w:val="0"/>
                      <w:bCs w:val="0"/>
                      <w:i/>
                      <w:iCs/>
                      <w:color w:val="auto"/>
                      <w:kern w:val="0"/>
                      <w:sz w:val="18"/>
                      <w:szCs w:val="18"/>
                      <w:u w:val="single" w:color="auto"/>
                      <w:lang w:val="en-US" w:eastAsia="zh-CN"/>
                    </w:rPr>
                  </w:pPr>
                  <w:r>
                    <w:rPr>
                      <w:rFonts w:hint="eastAsia" w:cs="Times New Roman"/>
                      <w:b w:val="0"/>
                      <w:bCs w:val="0"/>
                      <w:i/>
                      <w:iCs/>
                      <w:color w:val="auto"/>
                      <w:kern w:val="0"/>
                      <w:sz w:val="18"/>
                      <w:szCs w:val="18"/>
                      <w:u w:val="single" w:color="auto"/>
                      <w:lang w:val="en-US" w:eastAsia="zh-CN"/>
                    </w:rPr>
                    <w:t>关注地块-白山市江源区江山硅业有限责任公司</w:t>
                  </w:r>
                </w:p>
              </w:tc>
              <w:tc>
                <w:tcPr>
                  <w:tcW w:w="332" w:type="pct"/>
                  <w:vMerge w:val="restart"/>
                  <w:noWrap w:val="0"/>
                  <w:vAlign w:val="center"/>
                </w:tcPr>
                <w:p w14:paraId="6020A935">
                  <w:pPr>
                    <w:keepNext w:val="0"/>
                    <w:keepLines w:val="0"/>
                    <w:widowControl/>
                    <w:suppressLineNumbers w:val="0"/>
                    <w:spacing w:before="0" w:beforeAutospacing="0" w:after="0" w:afterAutospacing="0"/>
                    <w:ind w:left="0" w:right="0"/>
                    <w:jc w:val="center"/>
                    <w:rPr>
                      <w:rFonts w:hint="default" w:cs="Times New Roman"/>
                      <w:b w:val="0"/>
                      <w:bCs w:val="0"/>
                      <w:i/>
                      <w:iCs/>
                      <w:color w:val="auto"/>
                      <w:kern w:val="0"/>
                      <w:sz w:val="18"/>
                      <w:szCs w:val="18"/>
                      <w:u w:val="single" w:color="auto"/>
                      <w:lang w:val="en-US" w:eastAsia="zh-CN"/>
                    </w:rPr>
                  </w:pPr>
                  <w:r>
                    <w:rPr>
                      <w:rFonts w:hint="eastAsia" w:cs="Times New Roman"/>
                      <w:b w:val="0"/>
                      <w:bCs w:val="0"/>
                      <w:i/>
                      <w:iCs/>
                      <w:color w:val="auto"/>
                      <w:kern w:val="0"/>
                      <w:sz w:val="18"/>
                      <w:szCs w:val="18"/>
                      <w:u w:val="single" w:color="auto"/>
                      <w:lang w:val="en-US" w:eastAsia="zh-CN"/>
                    </w:rPr>
                    <w:t>重点管控区</w:t>
                  </w:r>
                </w:p>
              </w:tc>
              <w:tc>
                <w:tcPr>
                  <w:tcW w:w="736" w:type="pct"/>
                  <w:vMerge w:val="restart"/>
                  <w:noWrap w:val="0"/>
                  <w:vAlign w:val="center"/>
                </w:tcPr>
                <w:p w14:paraId="1C741526">
                  <w:pPr>
                    <w:keepNext w:val="0"/>
                    <w:keepLines w:val="0"/>
                    <w:suppressLineNumbers w:val="0"/>
                    <w:spacing w:before="0" w:beforeAutospacing="0" w:after="0" w:afterAutospacing="0"/>
                    <w:ind w:left="0" w:right="0"/>
                    <w:jc w:val="center"/>
                    <w:rPr>
                      <w:rFonts w:hint="default" w:cs="Times New Roman"/>
                      <w:b w:val="0"/>
                      <w:bCs w:val="0"/>
                      <w:i/>
                      <w:iCs/>
                      <w:color w:val="auto"/>
                      <w:kern w:val="0"/>
                      <w:sz w:val="18"/>
                      <w:szCs w:val="18"/>
                      <w:u w:val="single" w:color="auto"/>
                      <w:lang w:val="en-US" w:eastAsia="zh-CN"/>
                    </w:rPr>
                  </w:pPr>
                  <w:r>
                    <w:rPr>
                      <w:rFonts w:hint="eastAsia" w:cs="Times New Roman"/>
                      <w:b w:val="0"/>
                      <w:bCs w:val="0"/>
                      <w:i/>
                      <w:iCs/>
                      <w:color w:val="auto"/>
                      <w:kern w:val="0"/>
                      <w:sz w:val="18"/>
                      <w:szCs w:val="18"/>
                      <w:u w:val="single" w:color="auto"/>
                      <w:lang w:val="en-US" w:eastAsia="zh-CN"/>
                    </w:rPr>
                    <w:t>土壤</w:t>
                  </w:r>
                </w:p>
              </w:tc>
              <w:tc>
                <w:tcPr>
                  <w:tcW w:w="1831" w:type="pct"/>
                  <w:noWrap w:val="0"/>
                  <w:vAlign w:val="center"/>
                </w:tcPr>
                <w:p w14:paraId="6518E7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Times New Roman" w:hAnsi="Times New Roman" w:eastAsia="宋体" w:cs="Times New Roman"/>
                      <w:i/>
                      <w:iCs/>
                      <w:color w:val="auto"/>
                      <w:sz w:val="18"/>
                      <w:szCs w:val="18"/>
                      <w:u w:val="single" w:color="auto"/>
                      <w:lang w:eastAsia="zh-CN"/>
                    </w:rPr>
                  </w:pPr>
                  <w:r>
                    <w:rPr>
                      <w:rFonts w:hint="default" w:ascii="Times New Roman" w:hAnsi="Times New Roman" w:eastAsia="宋体" w:cs="Times New Roman"/>
                      <w:i/>
                      <w:iCs/>
                      <w:color w:val="auto"/>
                      <w:sz w:val="18"/>
                      <w:szCs w:val="18"/>
                      <w:u w:val="single" w:color="auto"/>
                    </w:rPr>
                    <w:t>空间布局约束</w:t>
                  </w:r>
                  <w:r>
                    <w:rPr>
                      <w:rFonts w:hint="eastAsia" w:ascii="Times New Roman" w:hAnsi="Times New Roman" w:eastAsia="宋体" w:cs="Times New Roman"/>
                      <w:i/>
                      <w:iCs/>
                      <w:color w:val="auto"/>
                      <w:sz w:val="18"/>
                      <w:szCs w:val="18"/>
                      <w:u w:val="single" w:color="auto"/>
                      <w:lang w:eastAsia="zh-CN"/>
                    </w:rPr>
                    <w:t>：</w:t>
                  </w:r>
                </w:p>
                <w:p w14:paraId="2929E5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default" w:ascii="Times New Roman" w:hAnsi="Times New Roman" w:eastAsia="宋体" w:cs="Times New Roman"/>
                      <w:i/>
                      <w:iCs/>
                      <w:color w:val="auto"/>
                      <w:sz w:val="18"/>
                      <w:szCs w:val="18"/>
                      <w:u w:val="single" w:color="auto"/>
                    </w:rPr>
                  </w:pPr>
                  <w:r>
                    <w:rPr>
                      <w:rFonts w:hint="default" w:ascii="Times New Roman" w:hAnsi="Times New Roman" w:eastAsia="宋体" w:cs="Times New Roman"/>
                      <w:i/>
                      <w:iCs/>
                      <w:color w:val="auto"/>
                      <w:sz w:val="18"/>
                      <w:szCs w:val="18"/>
                      <w:u w:val="single" w:color="auto"/>
                    </w:rPr>
                    <w:t>1.污染地块依据土壤环境质量调查报告和评估报告合理规划土地用途，经治理修复和效果评估符合土壤环境质量要求后再开发利用。2.对建设用地污染风险管控和修复名录内地块严格准入管理，未依法完成土壤污染状况调查和风险评估的地块，不得开工建设与风险管控和修复无关的项目</w:t>
                  </w:r>
                  <w:r>
                    <w:rPr>
                      <w:rFonts w:hint="eastAsia" w:ascii="Times New Roman" w:hAnsi="Times New Roman" w:eastAsia="宋体" w:cs="Times New Roman"/>
                      <w:i/>
                      <w:iCs/>
                      <w:color w:val="auto"/>
                      <w:sz w:val="18"/>
                      <w:szCs w:val="18"/>
                      <w:u w:val="single" w:color="auto"/>
                      <w:lang w:eastAsia="zh-CN"/>
                    </w:rPr>
                    <w:t>；</w:t>
                  </w:r>
                  <w:r>
                    <w:rPr>
                      <w:rFonts w:hint="default" w:ascii="Times New Roman" w:hAnsi="Times New Roman" w:eastAsia="宋体" w:cs="Times New Roman"/>
                      <w:i/>
                      <w:iCs/>
                      <w:color w:val="auto"/>
                      <w:sz w:val="18"/>
                      <w:szCs w:val="18"/>
                      <w:u w:val="single" w:color="auto"/>
                    </w:rPr>
                    <w:t>名录内地块不予作为</w:t>
                  </w:r>
                  <w:r>
                    <w:rPr>
                      <w:rFonts w:hint="eastAsia" w:ascii="Times New Roman" w:hAnsi="Times New Roman" w:eastAsia="宋体" w:cs="Times New Roman"/>
                      <w:i/>
                      <w:iCs/>
                      <w:color w:val="auto"/>
                      <w:sz w:val="18"/>
                      <w:szCs w:val="18"/>
                      <w:u w:val="single" w:color="auto"/>
                    </w:rPr>
                    <w:t>“一住两公”</w:t>
                  </w:r>
                  <w:r>
                    <w:rPr>
                      <w:rFonts w:hint="default" w:ascii="Times New Roman" w:hAnsi="Times New Roman" w:eastAsia="宋体" w:cs="Times New Roman"/>
                      <w:i/>
                      <w:iCs/>
                      <w:color w:val="auto"/>
                      <w:sz w:val="18"/>
                      <w:szCs w:val="18"/>
                      <w:u w:val="single" w:color="auto"/>
                    </w:rPr>
                    <w:t>用地，不予办理土地征收、收回、收购、土地供应以及改变土地用途等手续。</w:t>
                  </w:r>
                </w:p>
                <w:p w14:paraId="10699E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default" w:ascii="Times New Roman" w:hAnsi="Times New Roman" w:eastAsia="宋体" w:cs="Times New Roman"/>
                      <w:i/>
                      <w:iCs/>
                      <w:color w:val="auto"/>
                      <w:sz w:val="18"/>
                      <w:szCs w:val="18"/>
                      <w:u w:val="single" w:color="auto"/>
                    </w:rPr>
                  </w:pPr>
                  <w:r>
                    <w:rPr>
                      <w:rFonts w:hint="default" w:ascii="Times New Roman" w:hAnsi="Times New Roman" w:eastAsia="宋体" w:cs="Times New Roman"/>
                      <w:i/>
                      <w:iCs/>
                      <w:color w:val="auto"/>
                      <w:sz w:val="18"/>
                      <w:szCs w:val="18"/>
                      <w:u w:val="single" w:color="auto"/>
                    </w:rPr>
                    <w:t>3.原则上禁止曾用于生产、使用、贮存、回收、处置有毒有害物质的工矿用地复垦为种植食用农产品的耕地。 4.从严管控农药、化工等行业重度污染地块规划用途,</w:t>
                  </w:r>
                </w:p>
                <w:p w14:paraId="30BF9F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default" w:ascii="Times New Roman" w:hAnsi="Times New Roman" w:eastAsia="宋体" w:cs="Times New Roman"/>
                      <w:i/>
                      <w:iCs/>
                      <w:color w:val="auto"/>
                      <w:sz w:val="18"/>
                      <w:szCs w:val="18"/>
                      <w:u w:val="single" w:color="auto"/>
                    </w:rPr>
                  </w:pPr>
                  <w:r>
                    <w:rPr>
                      <w:rFonts w:hint="default" w:ascii="Times New Roman" w:hAnsi="Times New Roman" w:eastAsia="宋体" w:cs="Times New Roman"/>
                      <w:i/>
                      <w:iCs/>
                      <w:color w:val="auto"/>
                      <w:sz w:val="18"/>
                      <w:szCs w:val="18"/>
                      <w:u w:val="single" w:color="auto"/>
                    </w:rPr>
                    <w:t>确需开发利用的，鼓励用于拓展生态空间。</w:t>
                  </w:r>
                </w:p>
              </w:tc>
              <w:tc>
                <w:tcPr>
                  <w:tcW w:w="474" w:type="pct"/>
                  <w:noWrap w:val="0"/>
                  <w:vAlign w:val="center"/>
                </w:tcPr>
                <w:p w14:paraId="1F90B314">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i/>
                      <w:iCs/>
                      <w:color w:val="auto"/>
                      <w:kern w:val="0"/>
                      <w:sz w:val="18"/>
                      <w:szCs w:val="18"/>
                      <w:u w:val="single" w:color="auto"/>
                      <w:lang w:val="en-US" w:eastAsia="zh-CN"/>
                    </w:rPr>
                  </w:pPr>
                  <w:r>
                    <w:rPr>
                      <w:rFonts w:hint="eastAsia" w:cs="Times New Roman"/>
                      <w:b w:val="0"/>
                      <w:bCs w:val="0"/>
                      <w:i/>
                      <w:iCs/>
                      <w:color w:val="auto"/>
                      <w:kern w:val="0"/>
                      <w:sz w:val="18"/>
                      <w:szCs w:val="18"/>
                      <w:u w:val="single" w:color="auto"/>
                      <w:lang w:val="en-US" w:eastAsia="zh-CN"/>
                    </w:rPr>
                    <w:t>不涉及</w:t>
                  </w:r>
                </w:p>
              </w:tc>
            </w:tr>
            <w:tr w14:paraId="0B9438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986" w:type="pct"/>
                  <w:vMerge w:val="continue"/>
                  <w:noWrap w:val="0"/>
                  <w:vAlign w:val="center"/>
                </w:tcPr>
                <w:p w14:paraId="78EE266C">
                  <w:pPr>
                    <w:keepNext w:val="0"/>
                    <w:keepLines w:val="0"/>
                    <w:widowControl/>
                    <w:suppressLineNumbers w:val="0"/>
                    <w:spacing w:before="0" w:beforeAutospacing="0" w:after="0" w:afterAutospacing="0"/>
                    <w:ind w:left="0" w:right="0"/>
                    <w:jc w:val="center"/>
                    <w:rPr>
                      <w:rFonts w:hint="eastAsia" w:cs="Times New Roman"/>
                      <w:b w:val="0"/>
                      <w:bCs w:val="0"/>
                      <w:i/>
                      <w:iCs/>
                      <w:color w:val="auto"/>
                      <w:kern w:val="0"/>
                      <w:sz w:val="18"/>
                      <w:szCs w:val="18"/>
                      <w:u w:val="single" w:color="auto"/>
                      <w:lang w:val="en-US" w:eastAsia="zh-CN"/>
                    </w:rPr>
                  </w:pPr>
                </w:p>
              </w:tc>
              <w:tc>
                <w:tcPr>
                  <w:tcW w:w="640" w:type="pct"/>
                  <w:vMerge w:val="continue"/>
                  <w:noWrap w:val="0"/>
                  <w:vAlign w:val="center"/>
                </w:tcPr>
                <w:p w14:paraId="6C14AA41">
                  <w:pPr>
                    <w:keepNext w:val="0"/>
                    <w:keepLines w:val="0"/>
                    <w:widowControl/>
                    <w:suppressLineNumbers w:val="0"/>
                    <w:spacing w:before="0" w:beforeAutospacing="0" w:after="0" w:afterAutospacing="0"/>
                    <w:ind w:left="0" w:right="0"/>
                    <w:jc w:val="center"/>
                    <w:rPr>
                      <w:rFonts w:hint="eastAsia" w:cs="Times New Roman"/>
                      <w:b w:val="0"/>
                      <w:bCs w:val="0"/>
                      <w:i/>
                      <w:iCs/>
                      <w:color w:val="auto"/>
                      <w:kern w:val="0"/>
                      <w:sz w:val="18"/>
                      <w:szCs w:val="18"/>
                      <w:u w:val="single" w:color="auto"/>
                      <w:lang w:val="en-US" w:eastAsia="zh-CN"/>
                    </w:rPr>
                  </w:pPr>
                </w:p>
              </w:tc>
              <w:tc>
                <w:tcPr>
                  <w:tcW w:w="332" w:type="pct"/>
                  <w:vMerge w:val="continue"/>
                  <w:noWrap w:val="0"/>
                  <w:vAlign w:val="center"/>
                </w:tcPr>
                <w:p w14:paraId="36334D7F">
                  <w:pPr>
                    <w:keepNext w:val="0"/>
                    <w:keepLines w:val="0"/>
                    <w:widowControl/>
                    <w:suppressLineNumbers w:val="0"/>
                    <w:spacing w:before="0" w:beforeAutospacing="0" w:after="0" w:afterAutospacing="0"/>
                    <w:ind w:left="0" w:right="0"/>
                    <w:jc w:val="center"/>
                    <w:rPr>
                      <w:rFonts w:hint="eastAsia" w:cs="Times New Roman"/>
                      <w:b w:val="0"/>
                      <w:bCs w:val="0"/>
                      <w:i/>
                      <w:iCs/>
                      <w:color w:val="auto"/>
                      <w:kern w:val="0"/>
                      <w:sz w:val="18"/>
                      <w:szCs w:val="18"/>
                      <w:u w:val="single" w:color="auto"/>
                      <w:lang w:val="en-US" w:eastAsia="zh-CN"/>
                    </w:rPr>
                  </w:pPr>
                </w:p>
              </w:tc>
              <w:tc>
                <w:tcPr>
                  <w:tcW w:w="736" w:type="pct"/>
                  <w:vMerge w:val="continue"/>
                  <w:noWrap w:val="0"/>
                  <w:vAlign w:val="center"/>
                </w:tcPr>
                <w:p w14:paraId="3D8884C9">
                  <w:pPr>
                    <w:keepNext w:val="0"/>
                    <w:keepLines w:val="0"/>
                    <w:suppressLineNumbers w:val="0"/>
                    <w:spacing w:before="0" w:beforeAutospacing="0" w:after="0" w:afterAutospacing="0"/>
                    <w:ind w:left="0" w:right="0"/>
                    <w:jc w:val="center"/>
                    <w:rPr>
                      <w:rFonts w:hint="eastAsia" w:cs="Times New Roman"/>
                      <w:b w:val="0"/>
                      <w:bCs w:val="0"/>
                      <w:i/>
                      <w:iCs/>
                      <w:color w:val="auto"/>
                      <w:kern w:val="0"/>
                      <w:sz w:val="18"/>
                      <w:szCs w:val="18"/>
                      <w:u w:val="single" w:color="auto"/>
                      <w:lang w:val="en-US" w:eastAsia="zh-CN"/>
                    </w:rPr>
                  </w:pPr>
                </w:p>
              </w:tc>
              <w:tc>
                <w:tcPr>
                  <w:tcW w:w="1831" w:type="pct"/>
                  <w:noWrap w:val="0"/>
                  <w:vAlign w:val="center"/>
                </w:tcPr>
                <w:p w14:paraId="7BAC17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Times New Roman" w:hAnsi="Times New Roman" w:eastAsia="宋体" w:cs="Times New Roman"/>
                      <w:i/>
                      <w:iCs/>
                      <w:color w:val="auto"/>
                      <w:sz w:val="18"/>
                      <w:szCs w:val="18"/>
                      <w:u w:val="single" w:color="auto"/>
                      <w:lang w:eastAsia="zh-CN"/>
                    </w:rPr>
                  </w:pPr>
                  <w:r>
                    <w:rPr>
                      <w:rFonts w:hint="default" w:ascii="Times New Roman" w:hAnsi="Times New Roman" w:eastAsia="宋体" w:cs="Times New Roman"/>
                      <w:i/>
                      <w:iCs/>
                      <w:color w:val="auto"/>
                      <w:sz w:val="18"/>
                      <w:szCs w:val="18"/>
                      <w:u w:val="single" w:color="auto"/>
                    </w:rPr>
                    <w:t>污染物排放管控</w:t>
                  </w:r>
                  <w:r>
                    <w:rPr>
                      <w:rFonts w:hint="eastAsia" w:ascii="Times New Roman" w:hAnsi="Times New Roman" w:eastAsia="宋体" w:cs="Times New Roman"/>
                      <w:i/>
                      <w:iCs/>
                      <w:color w:val="auto"/>
                      <w:sz w:val="18"/>
                      <w:szCs w:val="18"/>
                      <w:u w:val="single" w:color="auto"/>
                      <w:lang w:eastAsia="zh-CN"/>
                    </w:rPr>
                    <w:t>：</w:t>
                  </w:r>
                </w:p>
                <w:p w14:paraId="15D5ED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default" w:ascii="Times New Roman" w:hAnsi="Times New Roman" w:eastAsia="宋体" w:cs="Times New Roman"/>
                      <w:i/>
                      <w:iCs/>
                      <w:color w:val="auto"/>
                      <w:sz w:val="18"/>
                      <w:szCs w:val="18"/>
                      <w:u w:val="single" w:color="auto"/>
                    </w:rPr>
                  </w:pPr>
                  <w:r>
                    <w:rPr>
                      <w:rFonts w:hint="default" w:ascii="Times New Roman" w:hAnsi="Times New Roman" w:eastAsia="宋体" w:cs="Times New Roman"/>
                      <w:i/>
                      <w:iCs/>
                      <w:color w:val="auto"/>
                      <w:sz w:val="18"/>
                      <w:szCs w:val="18"/>
                      <w:u w:val="single" w:color="auto"/>
                      <w:lang w:val="en-US" w:eastAsia="zh-CN"/>
                    </w:rPr>
                    <w:t>1.</w:t>
                  </w:r>
                  <w:r>
                    <w:rPr>
                      <w:rFonts w:hint="default" w:ascii="Times New Roman" w:hAnsi="Times New Roman" w:eastAsia="宋体" w:cs="Times New Roman"/>
                      <w:i/>
                      <w:iCs/>
                      <w:color w:val="auto"/>
                      <w:sz w:val="18"/>
                      <w:szCs w:val="18"/>
                      <w:u w:val="single" w:color="auto"/>
                    </w:rPr>
                    <w:t>新</w:t>
                  </w:r>
                  <w:r>
                    <w:rPr>
                      <w:rFonts w:hint="eastAsia" w:ascii="Times New Roman" w:hAnsi="Times New Roman" w:eastAsia="宋体" w:cs="Times New Roman"/>
                      <w:i/>
                      <w:iCs/>
                      <w:color w:val="auto"/>
                      <w:sz w:val="18"/>
                      <w:szCs w:val="18"/>
                      <w:u w:val="single" w:color="auto"/>
                      <w:lang w:eastAsia="zh-CN"/>
                    </w:rPr>
                    <w:t>（</w:t>
                  </w:r>
                  <w:r>
                    <w:rPr>
                      <w:rFonts w:hint="default" w:ascii="Times New Roman" w:hAnsi="Times New Roman" w:eastAsia="宋体" w:cs="Times New Roman"/>
                      <w:i/>
                      <w:iCs/>
                      <w:color w:val="auto"/>
                      <w:sz w:val="18"/>
                      <w:szCs w:val="18"/>
                      <w:u w:val="single" w:color="auto"/>
                    </w:rPr>
                    <w:t>改、扩</w:t>
                  </w:r>
                  <w:r>
                    <w:rPr>
                      <w:rFonts w:hint="eastAsia" w:ascii="Times New Roman" w:hAnsi="Times New Roman" w:eastAsia="宋体" w:cs="Times New Roman"/>
                      <w:i/>
                      <w:iCs/>
                      <w:color w:val="auto"/>
                      <w:sz w:val="18"/>
                      <w:szCs w:val="18"/>
                      <w:u w:val="single" w:color="auto"/>
                      <w:lang w:eastAsia="zh-CN"/>
                    </w:rPr>
                    <w:t>）</w:t>
                  </w:r>
                  <w:r>
                    <w:rPr>
                      <w:rFonts w:hint="default" w:ascii="Times New Roman" w:hAnsi="Times New Roman" w:eastAsia="宋体" w:cs="Times New Roman"/>
                      <w:i/>
                      <w:iCs/>
                      <w:color w:val="auto"/>
                      <w:sz w:val="18"/>
                      <w:szCs w:val="18"/>
                      <w:u w:val="single" w:color="auto"/>
                    </w:rPr>
                    <w:t>建涉及有毒有害物质可能造成土壤污染的建设项目，严格落实土壤和地下水污染防治要求。</w:t>
                  </w:r>
                </w:p>
                <w:p w14:paraId="1B2E5C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default" w:ascii="Times New Roman" w:hAnsi="Times New Roman" w:eastAsia="宋体" w:cs="Times New Roman"/>
                      <w:i/>
                      <w:iCs/>
                      <w:color w:val="auto"/>
                      <w:sz w:val="18"/>
                      <w:szCs w:val="18"/>
                      <w:u w:val="single" w:color="auto"/>
                    </w:rPr>
                  </w:pPr>
                  <w:r>
                    <w:rPr>
                      <w:rFonts w:hint="eastAsia" w:ascii="Times New Roman" w:hAnsi="Times New Roman" w:eastAsia="宋体" w:cs="Times New Roman"/>
                      <w:i/>
                      <w:iCs/>
                      <w:color w:val="auto"/>
                      <w:sz w:val="18"/>
                      <w:szCs w:val="18"/>
                      <w:u w:val="single" w:color="auto"/>
                      <w:lang w:val="en-US" w:eastAsia="zh-CN"/>
                    </w:rPr>
                    <w:t>2.</w:t>
                  </w:r>
                  <w:r>
                    <w:rPr>
                      <w:rFonts w:hint="default" w:ascii="Times New Roman" w:hAnsi="Times New Roman" w:eastAsia="宋体" w:cs="Times New Roman"/>
                      <w:i/>
                      <w:iCs/>
                      <w:color w:val="auto"/>
                      <w:sz w:val="18"/>
                      <w:szCs w:val="18"/>
                      <w:u w:val="single" w:color="auto"/>
                    </w:rPr>
                    <w:t>污染地块土地使用权人应当按照风险管控方案要求，及时移除或者清理污染源，并采取污染隔离、阻断等措施，防止污染扩散。</w:t>
                  </w:r>
                </w:p>
                <w:p w14:paraId="5DF1C9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default" w:ascii="Times New Roman" w:hAnsi="Times New Roman" w:eastAsia="宋体" w:cs="Times New Roman"/>
                      <w:i/>
                      <w:iCs/>
                      <w:color w:val="auto"/>
                      <w:sz w:val="18"/>
                      <w:szCs w:val="18"/>
                      <w:u w:val="single" w:color="auto"/>
                      <w:lang w:val="en-US" w:eastAsia="zh-CN"/>
                    </w:rPr>
                  </w:pPr>
                  <w:r>
                    <w:rPr>
                      <w:rFonts w:hint="default" w:ascii="Times New Roman" w:hAnsi="Times New Roman" w:eastAsia="宋体" w:cs="Times New Roman"/>
                      <w:i/>
                      <w:iCs/>
                      <w:color w:val="auto"/>
                      <w:sz w:val="18"/>
                      <w:szCs w:val="18"/>
                      <w:u w:val="single" w:color="auto"/>
                    </w:rPr>
                    <w:t>环境风险管控</w:t>
                  </w:r>
                  <w:r>
                    <w:rPr>
                      <w:rFonts w:hint="eastAsia" w:ascii="Times New Roman" w:hAnsi="Times New Roman" w:eastAsia="宋体" w:cs="Times New Roman"/>
                      <w:i/>
                      <w:iCs/>
                      <w:color w:val="auto"/>
                      <w:sz w:val="18"/>
                      <w:szCs w:val="18"/>
                      <w:u w:val="single" w:color="auto"/>
                      <w:lang w:eastAsia="zh-CN"/>
                    </w:rPr>
                    <w:t>：</w:t>
                  </w:r>
                  <w:r>
                    <w:rPr>
                      <w:rFonts w:hint="eastAsia" w:ascii="Times New Roman" w:hAnsi="Times New Roman" w:eastAsia="宋体" w:cs="Times New Roman"/>
                      <w:i/>
                      <w:iCs/>
                      <w:color w:val="auto"/>
                      <w:sz w:val="18"/>
                      <w:szCs w:val="18"/>
                      <w:u w:val="single" w:color="auto"/>
                      <w:lang w:val="en-US" w:eastAsia="zh-CN"/>
                    </w:rPr>
                    <w:t>--</w:t>
                  </w:r>
                </w:p>
                <w:p w14:paraId="66035B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default" w:ascii="Times New Roman" w:hAnsi="Times New Roman" w:eastAsia="宋体" w:cs="Times New Roman"/>
                      <w:i/>
                      <w:iCs/>
                      <w:color w:val="auto"/>
                      <w:sz w:val="18"/>
                      <w:szCs w:val="18"/>
                      <w:u w:val="single" w:color="auto"/>
                      <w:lang w:val="en-US" w:eastAsia="zh-CN"/>
                    </w:rPr>
                  </w:pPr>
                  <w:r>
                    <w:rPr>
                      <w:rFonts w:hint="default" w:ascii="Times New Roman" w:hAnsi="Times New Roman" w:eastAsia="宋体" w:cs="Times New Roman"/>
                      <w:i/>
                      <w:iCs/>
                      <w:color w:val="auto"/>
                      <w:sz w:val="18"/>
                      <w:szCs w:val="18"/>
                      <w:u w:val="single" w:color="auto"/>
                    </w:rPr>
                    <w:t>资源开发效率</w:t>
                  </w:r>
                  <w:r>
                    <w:rPr>
                      <w:rFonts w:hint="eastAsia" w:ascii="Times New Roman" w:hAnsi="Times New Roman" w:eastAsia="宋体" w:cs="Times New Roman"/>
                      <w:i/>
                      <w:iCs/>
                      <w:color w:val="auto"/>
                      <w:sz w:val="18"/>
                      <w:szCs w:val="18"/>
                      <w:u w:val="single" w:color="auto"/>
                      <w:lang w:eastAsia="zh-CN"/>
                    </w:rPr>
                    <w:t>：</w:t>
                  </w:r>
                  <w:r>
                    <w:rPr>
                      <w:rFonts w:hint="eastAsia" w:ascii="Times New Roman" w:hAnsi="Times New Roman" w:eastAsia="宋体" w:cs="Times New Roman"/>
                      <w:i/>
                      <w:iCs/>
                      <w:color w:val="auto"/>
                      <w:sz w:val="18"/>
                      <w:szCs w:val="18"/>
                      <w:u w:val="single" w:color="auto"/>
                      <w:lang w:val="en-US" w:eastAsia="zh-CN"/>
                    </w:rPr>
                    <w:t>/</w:t>
                  </w:r>
                </w:p>
              </w:tc>
              <w:tc>
                <w:tcPr>
                  <w:tcW w:w="474" w:type="pct"/>
                  <w:noWrap w:val="0"/>
                  <w:vAlign w:val="center"/>
                </w:tcPr>
                <w:p w14:paraId="49B74BFC">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iCs/>
                      <w:color w:val="auto"/>
                      <w:kern w:val="0"/>
                      <w:sz w:val="18"/>
                      <w:szCs w:val="18"/>
                      <w:u w:val="single" w:color="auto"/>
                      <w:lang w:val="en-US" w:eastAsia="zh-CN"/>
                    </w:rPr>
                  </w:pPr>
                  <w:r>
                    <w:rPr>
                      <w:rFonts w:hint="eastAsia" w:cs="Times New Roman"/>
                      <w:b w:val="0"/>
                      <w:bCs w:val="0"/>
                      <w:i/>
                      <w:iCs/>
                      <w:color w:val="auto"/>
                      <w:kern w:val="0"/>
                      <w:sz w:val="18"/>
                      <w:szCs w:val="18"/>
                      <w:u w:val="single" w:color="auto"/>
                      <w:lang w:val="en-US" w:eastAsia="zh-CN"/>
                    </w:rPr>
                    <w:t>项目为机制砂项目，不属于涉及有毒有害土壤污染项目</w:t>
                  </w:r>
                </w:p>
              </w:tc>
            </w:tr>
            <w:tr w14:paraId="429F52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986" w:type="pct"/>
                  <w:noWrap w:val="0"/>
                  <w:vAlign w:val="center"/>
                </w:tcPr>
                <w:p w14:paraId="02CC023A">
                  <w:pPr>
                    <w:keepNext w:val="0"/>
                    <w:keepLines w:val="0"/>
                    <w:widowControl/>
                    <w:suppressLineNumbers w:val="0"/>
                    <w:spacing w:before="0" w:beforeAutospacing="0" w:after="0" w:afterAutospacing="0"/>
                    <w:ind w:left="0" w:right="0"/>
                    <w:jc w:val="center"/>
                    <w:rPr>
                      <w:rFonts w:hint="default" w:cs="Times New Roman"/>
                      <w:b w:val="0"/>
                      <w:bCs w:val="0"/>
                      <w:i/>
                      <w:iCs/>
                      <w:color w:val="auto"/>
                      <w:kern w:val="0"/>
                      <w:sz w:val="18"/>
                      <w:szCs w:val="18"/>
                      <w:u w:val="single" w:color="auto"/>
                      <w:lang w:val="en-US" w:eastAsia="zh-CN"/>
                    </w:rPr>
                  </w:pPr>
                  <w:r>
                    <w:rPr>
                      <w:rFonts w:hint="eastAsia" w:cs="Times New Roman"/>
                      <w:b w:val="0"/>
                      <w:bCs w:val="0"/>
                      <w:i/>
                      <w:iCs/>
                      <w:color w:val="auto"/>
                      <w:kern w:val="0"/>
                      <w:sz w:val="18"/>
                      <w:szCs w:val="18"/>
                      <w:u w:val="single" w:color="auto"/>
                      <w:lang w:val="en-US" w:eastAsia="zh-CN"/>
                    </w:rPr>
                    <w:t>YS2206052530005</w:t>
                  </w:r>
                </w:p>
              </w:tc>
              <w:tc>
                <w:tcPr>
                  <w:tcW w:w="640" w:type="pct"/>
                  <w:noWrap w:val="0"/>
                  <w:vAlign w:val="center"/>
                </w:tcPr>
                <w:p w14:paraId="15EF8599">
                  <w:pPr>
                    <w:keepNext w:val="0"/>
                    <w:keepLines w:val="0"/>
                    <w:widowControl/>
                    <w:suppressLineNumbers w:val="0"/>
                    <w:spacing w:before="0" w:beforeAutospacing="0" w:after="0" w:afterAutospacing="0"/>
                    <w:ind w:left="0" w:right="0"/>
                    <w:jc w:val="left"/>
                    <w:rPr>
                      <w:rFonts w:hint="eastAsia" w:cs="Times New Roman"/>
                      <w:b w:val="0"/>
                      <w:bCs w:val="0"/>
                      <w:i/>
                      <w:iCs/>
                      <w:color w:val="auto"/>
                      <w:kern w:val="0"/>
                      <w:sz w:val="18"/>
                      <w:szCs w:val="18"/>
                      <w:u w:val="single" w:color="auto"/>
                      <w:lang w:val="en-US" w:eastAsia="zh-CN"/>
                    </w:rPr>
                  </w:pPr>
                  <w:r>
                    <w:rPr>
                      <w:rFonts w:hint="default" w:ascii="Times New Roman" w:hAnsi="Times New Roman" w:eastAsia="宋体" w:cs="Times New Roman"/>
                      <w:b w:val="0"/>
                      <w:bCs w:val="0"/>
                      <w:i/>
                      <w:iCs/>
                      <w:color w:val="auto"/>
                      <w:kern w:val="0"/>
                      <w:sz w:val="18"/>
                      <w:szCs w:val="18"/>
                      <w:u w:val="single" w:color="auto"/>
                      <w:lang w:val="en-US" w:eastAsia="zh-CN"/>
                    </w:rPr>
                    <w:t>关</w:t>
                  </w:r>
                  <w:r>
                    <w:rPr>
                      <w:rFonts w:hint="eastAsia" w:ascii="宋体" w:hAnsi="宋体" w:eastAsia="宋体" w:cs="宋体"/>
                      <w:b w:val="0"/>
                      <w:bCs w:val="0"/>
                      <w:i/>
                      <w:iCs/>
                      <w:color w:val="auto"/>
                      <w:kern w:val="0"/>
                      <w:sz w:val="18"/>
                      <w:szCs w:val="18"/>
                      <w:u w:val="single" w:color="auto"/>
                      <w:lang w:val="en-US" w:eastAsia="zh-CN"/>
                    </w:rPr>
                    <w:t>注地块-⽩⼭市江源区江⼭硅业有限责任公司</w:t>
                  </w:r>
                </w:p>
              </w:tc>
              <w:tc>
                <w:tcPr>
                  <w:tcW w:w="332" w:type="pct"/>
                  <w:noWrap w:val="0"/>
                  <w:vAlign w:val="center"/>
                </w:tcPr>
                <w:p w14:paraId="65E81898">
                  <w:pPr>
                    <w:keepNext w:val="0"/>
                    <w:keepLines w:val="0"/>
                    <w:widowControl/>
                    <w:suppressLineNumbers w:val="0"/>
                    <w:spacing w:before="0" w:beforeAutospacing="0" w:after="0" w:afterAutospacing="0"/>
                    <w:ind w:left="0" w:right="0"/>
                    <w:jc w:val="center"/>
                    <w:rPr>
                      <w:rFonts w:hint="eastAsia" w:cs="Times New Roman"/>
                      <w:b w:val="0"/>
                      <w:bCs w:val="0"/>
                      <w:i/>
                      <w:iCs/>
                      <w:color w:val="auto"/>
                      <w:kern w:val="0"/>
                      <w:sz w:val="18"/>
                      <w:szCs w:val="18"/>
                      <w:u w:val="single" w:color="auto"/>
                      <w:lang w:val="en-US" w:eastAsia="zh-CN"/>
                    </w:rPr>
                  </w:pPr>
                  <w:r>
                    <w:rPr>
                      <w:rFonts w:hint="eastAsia" w:cs="Times New Roman"/>
                      <w:b w:val="0"/>
                      <w:bCs w:val="0"/>
                      <w:i/>
                      <w:iCs/>
                      <w:color w:val="auto"/>
                      <w:kern w:val="0"/>
                      <w:sz w:val="18"/>
                      <w:szCs w:val="18"/>
                      <w:u w:val="single" w:color="auto"/>
                      <w:lang w:val="en-US" w:eastAsia="zh-CN"/>
                    </w:rPr>
                    <w:t>重点管控区</w:t>
                  </w:r>
                </w:p>
              </w:tc>
              <w:tc>
                <w:tcPr>
                  <w:tcW w:w="736" w:type="pct"/>
                  <w:noWrap w:val="0"/>
                  <w:vAlign w:val="center"/>
                </w:tcPr>
                <w:p w14:paraId="781590BE">
                  <w:pPr>
                    <w:keepNext w:val="0"/>
                    <w:keepLines w:val="0"/>
                    <w:suppressLineNumbers w:val="0"/>
                    <w:spacing w:before="0" w:beforeAutospacing="0" w:after="0" w:afterAutospacing="0"/>
                    <w:ind w:left="0" w:right="0"/>
                    <w:jc w:val="center"/>
                    <w:rPr>
                      <w:rFonts w:hint="default" w:cs="Times New Roman"/>
                      <w:b w:val="0"/>
                      <w:bCs w:val="0"/>
                      <w:i/>
                      <w:iCs/>
                      <w:color w:val="auto"/>
                      <w:kern w:val="0"/>
                      <w:sz w:val="18"/>
                      <w:szCs w:val="18"/>
                      <w:u w:val="single" w:color="auto"/>
                      <w:lang w:val="en-US" w:eastAsia="zh-CN"/>
                    </w:rPr>
                  </w:pPr>
                  <w:r>
                    <w:rPr>
                      <w:rFonts w:hint="eastAsia" w:cs="Times New Roman"/>
                      <w:b w:val="0"/>
                      <w:bCs w:val="0"/>
                      <w:i/>
                      <w:iCs/>
                      <w:color w:val="auto"/>
                      <w:kern w:val="0"/>
                      <w:sz w:val="18"/>
                      <w:szCs w:val="18"/>
                      <w:u w:val="single" w:color="auto"/>
                      <w:lang w:val="en-US" w:eastAsia="zh-CN"/>
                    </w:rPr>
                    <w:t>自然资源</w:t>
                  </w:r>
                </w:p>
              </w:tc>
              <w:tc>
                <w:tcPr>
                  <w:tcW w:w="1831" w:type="pct"/>
                  <w:noWrap w:val="0"/>
                  <w:vAlign w:val="center"/>
                </w:tcPr>
                <w:p w14:paraId="08041D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default" w:ascii="Times New Roman" w:hAnsi="Times New Roman" w:eastAsia="宋体" w:cs="Times New Roman"/>
                      <w:i/>
                      <w:iCs/>
                      <w:color w:val="auto"/>
                      <w:sz w:val="18"/>
                      <w:szCs w:val="18"/>
                      <w:u w:val="single" w:color="auto"/>
                      <w:lang w:val="en-US" w:eastAsia="zh-CN"/>
                    </w:rPr>
                  </w:pPr>
                  <w:r>
                    <w:rPr>
                      <w:rFonts w:hint="default" w:ascii="Times New Roman" w:hAnsi="Times New Roman" w:eastAsia="宋体" w:cs="Times New Roman"/>
                      <w:i/>
                      <w:iCs/>
                      <w:color w:val="auto"/>
                      <w:sz w:val="18"/>
                      <w:szCs w:val="18"/>
                      <w:u w:val="single" w:color="auto"/>
                    </w:rPr>
                    <w:t>空间布局约束</w:t>
                  </w:r>
                  <w:r>
                    <w:rPr>
                      <w:rFonts w:hint="eastAsia" w:ascii="Times New Roman" w:hAnsi="Times New Roman" w:eastAsia="宋体" w:cs="Times New Roman"/>
                      <w:i/>
                      <w:iCs/>
                      <w:color w:val="auto"/>
                      <w:sz w:val="18"/>
                      <w:szCs w:val="18"/>
                      <w:u w:val="single" w:color="auto"/>
                      <w:lang w:eastAsia="zh-CN"/>
                    </w:rPr>
                    <w:t>：</w:t>
                  </w:r>
                  <w:r>
                    <w:rPr>
                      <w:rFonts w:hint="eastAsia" w:ascii="Times New Roman" w:hAnsi="Times New Roman" w:eastAsia="宋体" w:cs="Times New Roman"/>
                      <w:i/>
                      <w:iCs/>
                      <w:color w:val="auto"/>
                      <w:sz w:val="18"/>
                      <w:szCs w:val="18"/>
                      <w:u w:val="single" w:color="auto"/>
                      <w:lang w:val="en-US" w:eastAsia="zh-CN"/>
                    </w:rPr>
                    <w:t>/</w:t>
                  </w:r>
                </w:p>
                <w:p w14:paraId="3D0833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default" w:ascii="Times New Roman" w:hAnsi="Times New Roman" w:eastAsia="宋体" w:cs="Times New Roman"/>
                      <w:i/>
                      <w:iCs/>
                      <w:color w:val="auto"/>
                      <w:sz w:val="18"/>
                      <w:szCs w:val="18"/>
                      <w:u w:val="single" w:color="auto"/>
                      <w:lang w:val="en-US" w:eastAsia="zh-CN"/>
                    </w:rPr>
                  </w:pPr>
                  <w:r>
                    <w:rPr>
                      <w:rFonts w:hint="default" w:ascii="Times New Roman" w:hAnsi="Times New Roman" w:eastAsia="宋体" w:cs="Times New Roman"/>
                      <w:i/>
                      <w:iCs/>
                      <w:color w:val="auto"/>
                      <w:sz w:val="18"/>
                      <w:szCs w:val="18"/>
                      <w:u w:val="single" w:color="auto"/>
                    </w:rPr>
                    <w:t>污染物排放管控</w:t>
                  </w:r>
                  <w:r>
                    <w:rPr>
                      <w:rFonts w:hint="eastAsia" w:ascii="Times New Roman" w:hAnsi="Times New Roman" w:eastAsia="宋体" w:cs="Times New Roman"/>
                      <w:i/>
                      <w:iCs/>
                      <w:color w:val="auto"/>
                      <w:sz w:val="18"/>
                      <w:szCs w:val="18"/>
                      <w:u w:val="single" w:color="auto"/>
                      <w:lang w:eastAsia="zh-CN"/>
                    </w:rPr>
                    <w:t>：</w:t>
                  </w:r>
                  <w:r>
                    <w:rPr>
                      <w:rFonts w:hint="eastAsia" w:ascii="Times New Roman" w:hAnsi="Times New Roman" w:eastAsia="宋体" w:cs="Times New Roman"/>
                      <w:i/>
                      <w:iCs/>
                      <w:color w:val="auto"/>
                      <w:sz w:val="18"/>
                      <w:szCs w:val="18"/>
                      <w:u w:val="single" w:color="auto"/>
                      <w:lang w:val="en-US" w:eastAsia="zh-CN"/>
                    </w:rPr>
                    <w:t>/</w:t>
                  </w:r>
                </w:p>
                <w:p w14:paraId="4810D7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default" w:ascii="Times New Roman" w:hAnsi="Times New Roman" w:eastAsia="宋体" w:cs="Times New Roman"/>
                      <w:i/>
                      <w:iCs/>
                      <w:color w:val="auto"/>
                      <w:sz w:val="18"/>
                      <w:szCs w:val="18"/>
                      <w:u w:val="single" w:color="auto"/>
                      <w:lang w:val="en-US" w:eastAsia="zh-CN"/>
                    </w:rPr>
                  </w:pPr>
                  <w:r>
                    <w:rPr>
                      <w:rFonts w:hint="default" w:ascii="Times New Roman" w:hAnsi="Times New Roman" w:eastAsia="宋体" w:cs="Times New Roman"/>
                      <w:i/>
                      <w:iCs/>
                      <w:color w:val="auto"/>
                      <w:sz w:val="18"/>
                      <w:szCs w:val="18"/>
                      <w:u w:val="single" w:color="auto"/>
                    </w:rPr>
                    <w:t>环境风险管控</w:t>
                  </w:r>
                  <w:r>
                    <w:rPr>
                      <w:rFonts w:hint="eastAsia" w:ascii="Times New Roman" w:hAnsi="Times New Roman" w:eastAsia="宋体" w:cs="Times New Roman"/>
                      <w:i/>
                      <w:iCs/>
                      <w:color w:val="auto"/>
                      <w:sz w:val="18"/>
                      <w:szCs w:val="18"/>
                      <w:u w:val="single" w:color="auto"/>
                      <w:lang w:eastAsia="zh-CN"/>
                    </w:rPr>
                    <w:t>：</w:t>
                  </w:r>
                  <w:r>
                    <w:rPr>
                      <w:rFonts w:hint="eastAsia" w:ascii="Times New Roman" w:hAnsi="Times New Roman" w:eastAsia="宋体" w:cs="Times New Roman"/>
                      <w:i/>
                      <w:iCs/>
                      <w:color w:val="auto"/>
                      <w:sz w:val="18"/>
                      <w:szCs w:val="18"/>
                      <w:u w:val="single" w:color="auto"/>
                      <w:lang w:val="en-US" w:eastAsia="zh-CN"/>
                    </w:rPr>
                    <w:t>--</w:t>
                  </w:r>
                </w:p>
                <w:p w14:paraId="45E9AD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Times New Roman" w:hAnsi="Times New Roman" w:eastAsia="宋体" w:cs="Times New Roman"/>
                      <w:i/>
                      <w:iCs/>
                      <w:color w:val="auto"/>
                      <w:sz w:val="18"/>
                      <w:szCs w:val="18"/>
                      <w:u w:val="single" w:color="auto"/>
                      <w:lang w:eastAsia="zh-CN"/>
                    </w:rPr>
                  </w:pPr>
                  <w:r>
                    <w:rPr>
                      <w:rFonts w:hint="default" w:ascii="Times New Roman" w:hAnsi="Times New Roman" w:eastAsia="宋体" w:cs="Times New Roman"/>
                      <w:i/>
                      <w:iCs/>
                      <w:color w:val="auto"/>
                      <w:sz w:val="18"/>
                      <w:szCs w:val="18"/>
                      <w:u w:val="single" w:color="auto"/>
                    </w:rPr>
                    <w:t>资源开发效率</w:t>
                  </w:r>
                  <w:r>
                    <w:rPr>
                      <w:rFonts w:hint="eastAsia" w:ascii="Times New Roman" w:hAnsi="Times New Roman" w:eastAsia="宋体" w:cs="Times New Roman"/>
                      <w:i/>
                      <w:iCs/>
                      <w:color w:val="auto"/>
                      <w:sz w:val="18"/>
                      <w:szCs w:val="18"/>
                      <w:u w:val="single" w:color="auto"/>
                      <w:lang w:eastAsia="zh-CN"/>
                    </w:rPr>
                    <w:t>：</w:t>
                  </w:r>
                </w:p>
                <w:p w14:paraId="04D8DD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default" w:ascii="Times New Roman" w:hAnsi="Times New Roman" w:eastAsia="宋体" w:cs="Times New Roman"/>
                      <w:i/>
                      <w:iCs/>
                      <w:color w:val="auto"/>
                      <w:sz w:val="18"/>
                      <w:szCs w:val="18"/>
                      <w:u w:val="single" w:color="auto"/>
                    </w:rPr>
                  </w:pPr>
                  <w:r>
                    <w:rPr>
                      <w:rFonts w:hint="default" w:ascii="Times New Roman" w:hAnsi="Times New Roman" w:eastAsia="宋体" w:cs="Times New Roman"/>
                      <w:i/>
                      <w:iCs/>
                      <w:color w:val="auto"/>
                      <w:sz w:val="18"/>
                      <w:szCs w:val="18"/>
                      <w:u w:val="single" w:color="auto"/>
                    </w:rPr>
                    <w:t>1.污染地块依据土壤环境质量调查报告和评估报告合理规划土地用途，经治理修复和效果评估符合土壤环境质量要求后再开发利用。 2.对建设用地污染风险管控和修复名录内地块严格准入管理，未依法完成土壤污染状况调查和风险评估的地块，不得开工建设与风险管控和修复无关的项目</w:t>
                  </w:r>
                  <w:r>
                    <w:rPr>
                      <w:rFonts w:hint="eastAsia" w:ascii="Times New Roman" w:hAnsi="Times New Roman" w:eastAsia="宋体" w:cs="Times New Roman"/>
                      <w:i/>
                      <w:iCs/>
                      <w:color w:val="auto"/>
                      <w:sz w:val="18"/>
                      <w:szCs w:val="18"/>
                      <w:u w:val="single" w:color="auto"/>
                      <w:lang w:eastAsia="zh-CN"/>
                    </w:rPr>
                    <w:t>；</w:t>
                  </w:r>
                  <w:r>
                    <w:rPr>
                      <w:rFonts w:hint="default" w:ascii="Times New Roman" w:hAnsi="Times New Roman" w:eastAsia="宋体" w:cs="Times New Roman"/>
                      <w:i/>
                      <w:iCs/>
                      <w:color w:val="auto"/>
                      <w:sz w:val="18"/>
                      <w:szCs w:val="18"/>
                      <w:u w:val="single" w:color="auto"/>
                    </w:rPr>
                    <w:t>名录内地块不予作为</w:t>
                  </w:r>
                  <w:r>
                    <w:rPr>
                      <w:rFonts w:hint="eastAsia" w:ascii="Times New Roman" w:hAnsi="Times New Roman" w:eastAsia="宋体" w:cs="Times New Roman"/>
                      <w:i/>
                      <w:iCs/>
                      <w:color w:val="auto"/>
                      <w:sz w:val="18"/>
                      <w:szCs w:val="18"/>
                      <w:u w:val="single" w:color="auto"/>
                    </w:rPr>
                    <w:t>“一住两公”用</w:t>
                  </w:r>
                  <w:r>
                    <w:rPr>
                      <w:rFonts w:hint="default" w:ascii="Times New Roman" w:hAnsi="Times New Roman" w:eastAsia="宋体" w:cs="Times New Roman"/>
                      <w:i/>
                      <w:iCs/>
                      <w:color w:val="auto"/>
                      <w:sz w:val="18"/>
                      <w:szCs w:val="18"/>
                      <w:u w:val="single" w:color="auto"/>
                    </w:rPr>
                    <w:t>地，不予办理十地征收、收回、收购、土地供应以及改变土地用途等手续。 3</w:t>
                  </w:r>
                  <w:r>
                    <w:rPr>
                      <w:rFonts w:hint="eastAsia" w:ascii="Times New Roman" w:hAnsi="Times New Roman" w:eastAsia="宋体" w:cs="Times New Roman"/>
                      <w:i/>
                      <w:iCs/>
                      <w:color w:val="auto"/>
                      <w:sz w:val="18"/>
                      <w:szCs w:val="18"/>
                      <w:u w:val="single" w:color="auto"/>
                      <w:lang w:val="en-US" w:eastAsia="zh-CN"/>
                    </w:rPr>
                    <w:t>.</w:t>
                  </w:r>
                  <w:r>
                    <w:rPr>
                      <w:rFonts w:hint="default" w:ascii="Times New Roman" w:hAnsi="Times New Roman" w:eastAsia="宋体" w:cs="Times New Roman"/>
                      <w:i/>
                      <w:iCs/>
                      <w:color w:val="auto"/>
                      <w:sz w:val="18"/>
                      <w:szCs w:val="18"/>
                      <w:u w:val="single" w:color="auto"/>
                    </w:rPr>
                    <w:t>原则上禁止曾用干生产、使用、贮存、回收、处置有毒有害物质的工矿用地复垦为种植食用农产品的耕地。从严管控农药、化工等行业重度污染地块规划用途,确需开发利用的，鼓励用于拓展生态空间。</w:t>
                  </w:r>
                </w:p>
              </w:tc>
              <w:tc>
                <w:tcPr>
                  <w:tcW w:w="474" w:type="pct"/>
                  <w:noWrap w:val="0"/>
                  <w:vAlign w:val="center"/>
                </w:tcPr>
                <w:p w14:paraId="6EDED6AB">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i/>
                      <w:iCs/>
                      <w:color w:val="auto"/>
                      <w:kern w:val="0"/>
                      <w:sz w:val="18"/>
                      <w:szCs w:val="18"/>
                      <w:u w:val="single" w:color="auto"/>
                      <w:lang w:val="en-US" w:eastAsia="zh-CN"/>
                    </w:rPr>
                  </w:pPr>
                  <w:r>
                    <w:rPr>
                      <w:rFonts w:hint="eastAsia" w:cs="Times New Roman"/>
                      <w:b w:val="0"/>
                      <w:bCs w:val="0"/>
                      <w:i/>
                      <w:iCs/>
                      <w:color w:val="auto"/>
                      <w:kern w:val="0"/>
                      <w:sz w:val="18"/>
                      <w:szCs w:val="18"/>
                      <w:u w:val="single" w:color="auto"/>
                      <w:lang w:val="en-US" w:eastAsia="zh-CN"/>
                    </w:rPr>
                    <w:t>不涉及</w:t>
                  </w:r>
                </w:p>
              </w:tc>
            </w:tr>
            <w:tr w14:paraId="317817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86" w:type="pct"/>
                  <w:noWrap w:val="0"/>
                  <w:vAlign w:val="center"/>
                </w:tcPr>
                <w:p w14:paraId="4CACF5B2">
                  <w:pPr>
                    <w:keepNext w:val="0"/>
                    <w:keepLines w:val="0"/>
                    <w:widowControl/>
                    <w:suppressLineNumbers w:val="0"/>
                    <w:spacing w:before="0" w:beforeAutospacing="0" w:after="0" w:afterAutospacing="0"/>
                    <w:ind w:left="0" w:right="0"/>
                    <w:jc w:val="center"/>
                    <w:rPr>
                      <w:rFonts w:hint="default" w:cs="Times New Roman"/>
                      <w:b w:val="0"/>
                      <w:bCs w:val="0"/>
                      <w:i/>
                      <w:iCs/>
                      <w:color w:val="auto"/>
                      <w:kern w:val="0"/>
                      <w:sz w:val="18"/>
                      <w:szCs w:val="18"/>
                      <w:u w:val="single" w:color="auto"/>
                      <w:lang w:val="en-US" w:eastAsia="zh-CN"/>
                    </w:rPr>
                  </w:pPr>
                  <w:r>
                    <w:rPr>
                      <w:rFonts w:hint="eastAsia" w:cs="Times New Roman"/>
                      <w:b w:val="0"/>
                      <w:bCs w:val="0"/>
                      <w:i/>
                      <w:iCs/>
                      <w:color w:val="auto"/>
                      <w:kern w:val="0"/>
                      <w:sz w:val="18"/>
                      <w:szCs w:val="18"/>
                      <w:u w:val="single" w:color="auto"/>
                      <w:lang w:val="en-US" w:eastAsia="zh-CN"/>
                    </w:rPr>
                    <w:t>YS2206053210001</w:t>
                  </w:r>
                </w:p>
              </w:tc>
              <w:tc>
                <w:tcPr>
                  <w:tcW w:w="640" w:type="pct"/>
                  <w:noWrap w:val="0"/>
                  <w:vAlign w:val="center"/>
                </w:tcPr>
                <w:p w14:paraId="5D446866">
                  <w:pPr>
                    <w:keepNext w:val="0"/>
                    <w:keepLines w:val="0"/>
                    <w:widowControl/>
                    <w:suppressLineNumbers w:val="0"/>
                    <w:spacing w:before="0" w:beforeAutospacing="0" w:after="0" w:afterAutospacing="0"/>
                    <w:ind w:left="0" w:right="0"/>
                    <w:jc w:val="center"/>
                    <w:rPr>
                      <w:rFonts w:hint="default" w:cs="Times New Roman"/>
                      <w:b w:val="0"/>
                      <w:bCs w:val="0"/>
                      <w:i/>
                      <w:iCs/>
                      <w:color w:val="auto"/>
                      <w:kern w:val="0"/>
                      <w:sz w:val="18"/>
                      <w:szCs w:val="18"/>
                      <w:u w:val="single" w:color="auto"/>
                      <w:lang w:val="en-US" w:eastAsia="zh-CN"/>
                    </w:rPr>
                  </w:pPr>
                  <w:r>
                    <w:rPr>
                      <w:rFonts w:hint="eastAsia" w:cs="Times New Roman"/>
                      <w:b w:val="0"/>
                      <w:bCs w:val="0"/>
                      <w:i/>
                      <w:iCs/>
                      <w:color w:val="auto"/>
                      <w:kern w:val="0"/>
                      <w:sz w:val="18"/>
                      <w:szCs w:val="18"/>
                      <w:u w:val="single" w:color="auto"/>
                      <w:lang w:val="en-US" w:eastAsia="zh-CN"/>
                    </w:rPr>
                    <w:t>水环境一般管控区</w:t>
                  </w:r>
                </w:p>
              </w:tc>
              <w:tc>
                <w:tcPr>
                  <w:tcW w:w="332" w:type="pct"/>
                  <w:noWrap w:val="0"/>
                  <w:vAlign w:val="center"/>
                </w:tcPr>
                <w:p w14:paraId="42479085">
                  <w:pPr>
                    <w:keepNext w:val="0"/>
                    <w:keepLines w:val="0"/>
                    <w:widowControl/>
                    <w:suppressLineNumbers w:val="0"/>
                    <w:spacing w:before="0" w:beforeAutospacing="0" w:after="0" w:afterAutospacing="0"/>
                    <w:ind w:left="0" w:right="0"/>
                    <w:jc w:val="center"/>
                    <w:rPr>
                      <w:rFonts w:hint="default" w:cs="Times New Roman"/>
                      <w:b w:val="0"/>
                      <w:bCs w:val="0"/>
                      <w:i/>
                      <w:iCs/>
                      <w:color w:val="auto"/>
                      <w:kern w:val="0"/>
                      <w:sz w:val="18"/>
                      <w:szCs w:val="18"/>
                      <w:u w:val="single" w:color="auto"/>
                      <w:lang w:val="en-US" w:eastAsia="zh-CN"/>
                    </w:rPr>
                  </w:pPr>
                  <w:r>
                    <w:rPr>
                      <w:rFonts w:hint="eastAsia" w:cs="Times New Roman"/>
                      <w:b w:val="0"/>
                      <w:bCs w:val="0"/>
                      <w:i/>
                      <w:iCs/>
                      <w:color w:val="auto"/>
                      <w:kern w:val="0"/>
                      <w:sz w:val="18"/>
                      <w:szCs w:val="18"/>
                      <w:u w:val="single" w:color="auto"/>
                      <w:lang w:val="en-US" w:eastAsia="zh-CN"/>
                    </w:rPr>
                    <w:t>一般管控区</w:t>
                  </w:r>
                </w:p>
              </w:tc>
              <w:tc>
                <w:tcPr>
                  <w:tcW w:w="736" w:type="pct"/>
                  <w:noWrap w:val="0"/>
                  <w:vAlign w:val="center"/>
                </w:tcPr>
                <w:p w14:paraId="5763E19F">
                  <w:pPr>
                    <w:keepNext w:val="0"/>
                    <w:keepLines w:val="0"/>
                    <w:suppressLineNumbers w:val="0"/>
                    <w:spacing w:before="0" w:beforeAutospacing="0" w:after="0" w:afterAutospacing="0"/>
                    <w:ind w:left="0" w:right="0"/>
                    <w:jc w:val="center"/>
                    <w:rPr>
                      <w:rFonts w:hint="default" w:cs="Times New Roman"/>
                      <w:b w:val="0"/>
                      <w:bCs w:val="0"/>
                      <w:i/>
                      <w:iCs/>
                      <w:color w:val="auto"/>
                      <w:kern w:val="0"/>
                      <w:sz w:val="18"/>
                      <w:szCs w:val="18"/>
                      <w:u w:val="single" w:color="auto"/>
                      <w:lang w:val="en-US" w:eastAsia="zh-CN"/>
                    </w:rPr>
                  </w:pPr>
                  <w:r>
                    <w:rPr>
                      <w:rFonts w:hint="eastAsia" w:cs="Times New Roman"/>
                      <w:b w:val="0"/>
                      <w:bCs w:val="0"/>
                      <w:i/>
                      <w:iCs/>
                      <w:color w:val="auto"/>
                      <w:kern w:val="0"/>
                      <w:sz w:val="18"/>
                      <w:szCs w:val="18"/>
                      <w:u w:val="single" w:color="auto"/>
                      <w:lang w:val="en-US" w:eastAsia="zh-CN"/>
                    </w:rPr>
                    <w:t>水</w:t>
                  </w:r>
                </w:p>
              </w:tc>
              <w:tc>
                <w:tcPr>
                  <w:tcW w:w="1831" w:type="pct"/>
                  <w:noWrap w:val="0"/>
                  <w:vAlign w:val="center"/>
                </w:tcPr>
                <w:p w14:paraId="6DDEFF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Times New Roman" w:hAnsi="Times New Roman" w:eastAsia="宋体" w:cs="Times New Roman"/>
                      <w:i/>
                      <w:iCs/>
                      <w:color w:val="auto"/>
                      <w:sz w:val="18"/>
                      <w:szCs w:val="18"/>
                      <w:u w:val="single" w:color="auto"/>
                      <w:lang w:val="en-US" w:eastAsia="zh-CN"/>
                    </w:rPr>
                  </w:pPr>
                  <w:r>
                    <w:rPr>
                      <w:rFonts w:hint="default" w:ascii="Times New Roman" w:hAnsi="Times New Roman" w:eastAsia="宋体" w:cs="Times New Roman"/>
                      <w:i/>
                      <w:iCs/>
                      <w:color w:val="auto"/>
                      <w:sz w:val="18"/>
                      <w:szCs w:val="18"/>
                      <w:u w:val="single" w:color="auto"/>
                      <w:lang w:val="en-US" w:eastAsia="zh-CN"/>
                    </w:rPr>
                    <w:t>空间布局约束</w:t>
                  </w:r>
                  <w:r>
                    <w:rPr>
                      <w:rFonts w:hint="eastAsia" w:ascii="Times New Roman" w:hAnsi="Times New Roman" w:eastAsia="宋体" w:cs="Times New Roman"/>
                      <w:i/>
                      <w:iCs/>
                      <w:color w:val="auto"/>
                      <w:sz w:val="18"/>
                      <w:szCs w:val="18"/>
                      <w:u w:val="single" w:color="auto"/>
                      <w:lang w:val="en-US" w:eastAsia="zh-CN"/>
                    </w:rPr>
                    <w:t>：--</w:t>
                  </w:r>
                </w:p>
                <w:p w14:paraId="11604B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default" w:ascii="Times New Roman" w:hAnsi="Times New Roman" w:eastAsia="宋体" w:cs="Times New Roman"/>
                      <w:i/>
                      <w:iCs/>
                      <w:color w:val="auto"/>
                      <w:sz w:val="18"/>
                      <w:szCs w:val="18"/>
                      <w:u w:val="single" w:color="auto"/>
                    </w:rPr>
                  </w:pPr>
                  <w:r>
                    <w:rPr>
                      <w:rFonts w:hint="default" w:ascii="Times New Roman" w:hAnsi="Times New Roman" w:eastAsia="宋体" w:cs="Times New Roman"/>
                      <w:i/>
                      <w:iCs/>
                      <w:color w:val="auto"/>
                      <w:sz w:val="18"/>
                      <w:szCs w:val="18"/>
                      <w:u w:val="single" w:color="auto"/>
                      <w:lang w:val="en-US" w:eastAsia="zh-CN"/>
                    </w:rPr>
                    <w:t>污染物排放管控</w:t>
                  </w:r>
                  <w:r>
                    <w:rPr>
                      <w:rFonts w:hint="eastAsia" w:ascii="Times New Roman" w:hAnsi="Times New Roman" w:eastAsia="宋体" w:cs="Times New Roman"/>
                      <w:i/>
                      <w:iCs/>
                      <w:color w:val="auto"/>
                      <w:sz w:val="18"/>
                      <w:szCs w:val="18"/>
                      <w:u w:val="single" w:color="auto"/>
                      <w:lang w:val="en-US" w:eastAsia="zh-CN"/>
                    </w:rPr>
                    <w:t>：</w:t>
                  </w:r>
                </w:p>
                <w:p w14:paraId="7CAB50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default" w:ascii="Times New Roman" w:hAnsi="Times New Roman" w:eastAsia="宋体" w:cs="Times New Roman"/>
                      <w:i/>
                      <w:iCs/>
                      <w:color w:val="auto"/>
                      <w:sz w:val="18"/>
                      <w:szCs w:val="18"/>
                      <w:u w:val="single" w:color="auto"/>
                    </w:rPr>
                  </w:pPr>
                  <w:r>
                    <w:rPr>
                      <w:rFonts w:hint="default" w:ascii="Times New Roman" w:hAnsi="Times New Roman" w:eastAsia="宋体" w:cs="Times New Roman"/>
                      <w:i/>
                      <w:iCs/>
                      <w:color w:val="auto"/>
                      <w:sz w:val="18"/>
                      <w:szCs w:val="18"/>
                      <w:u w:val="single" w:color="auto"/>
                      <w:lang w:val="en-US" w:eastAsia="zh-CN"/>
                    </w:rPr>
                    <w:t>落实普适性环境治理要求，推进城乡</w:t>
                  </w:r>
                  <w:r>
                    <w:rPr>
                      <w:rFonts w:hint="eastAsia" w:ascii="Times New Roman" w:hAnsi="Times New Roman" w:eastAsia="宋体" w:cs="Times New Roman"/>
                      <w:i/>
                      <w:iCs/>
                      <w:color w:val="auto"/>
                      <w:sz w:val="18"/>
                      <w:szCs w:val="18"/>
                      <w:u w:val="single" w:color="auto"/>
                      <w:lang w:val="en-US" w:eastAsia="zh-CN"/>
                    </w:rPr>
                    <w:t>⽣</w:t>
                  </w:r>
                  <w:r>
                    <w:rPr>
                      <w:rFonts w:hint="default" w:ascii="Times New Roman" w:hAnsi="Times New Roman" w:eastAsia="宋体" w:cs="Times New Roman"/>
                      <w:i/>
                      <w:iCs/>
                      <w:color w:val="auto"/>
                      <w:sz w:val="18"/>
                      <w:szCs w:val="18"/>
                      <w:u w:val="single" w:color="auto"/>
                      <w:lang w:val="en-US" w:eastAsia="zh-CN"/>
                    </w:rPr>
                    <w:t xml:space="preserve">活污染和农业⾯源污染治理，加强污染物排放管控和环境⻛险防控，推动⽔环境质量不断改善。 </w:t>
                  </w:r>
                </w:p>
                <w:p w14:paraId="00AA25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default" w:ascii="Times New Roman" w:hAnsi="Times New Roman" w:eastAsia="宋体" w:cs="Times New Roman"/>
                      <w:i/>
                      <w:iCs/>
                      <w:color w:val="auto"/>
                      <w:sz w:val="18"/>
                      <w:szCs w:val="18"/>
                      <w:u w:val="single" w:color="auto"/>
                      <w:lang w:val="en-US"/>
                    </w:rPr>
                  </w:pPr>
                  <w:r>
                    <w:rPr>
                      <w:rFonts w:hint="default" w:ascii="Times New Roman" w:hAnsi="Times New Roman" w:eastAsia="宋体" w:cs="Times New Roman"/>
                      <w:i/>
                      <w:iCs/>
                      <w:color w:val="auto"/>
                      <w:sz w:val="18"/>
                      <w:szCs w:val="18"/>
                      <w:u w:val="single" w:color="auto"/>
                      <w:lang w:val="en-US" w:eastAsia="zh-CN"/>
                    </w:rPr>
                    <w:t>环境⻛险管控：</w:t>
                  </w:r>
                  <w:r>
                    <w:rPr>
                      <w:rFonts w:hint="eastAsia" w:ascii="Times New Roman" w:hAnsi="Times New Roman" w:eastAsia="宋体" w:cs="Times New Roman"/>
                      <w:i/>
                      <w:iCs/>
                      <w:color w:val="auto"/>
                      <w:sz w:val="18"/>
                      <w:szCs w:val="18"/>
                      <w:u w:val="single" w:color="auto"/>
                      <w:lang w:val="en-US" w:eastAsia="zh-CN"/>
                    </w:rPr>
                    <w:t>--</w:t>
                  </w:r>
                </w:p>
                <w:p w14:paraId="46264B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default" w:ascii="Times New Roman" w:hAnsi="Times New Roman" w:eastAsia="宋体" w:cs="Times New Roman"/>
                      <w:i/>
                      <w:iCs/>
                      <w:color w:val="auto"/>
                      <w:sz w:val="18"/>
                      <w:szCs w:val="18"/>
                      <w:u w:val="single" w:color="auto"/>
                    </w:rPr>
                  </w:pPr>
                  <w:r>
                    <w:rPr>
                      <w:rFonts w:hint="default" w:ascii="Times New Roman" w:hAnsi="Times New Roman" w:eastAsia="宋体" w:cs="Times New Roman"/>
                      <w:i/>
                      <w:iCs/>
                      <w:color w:val="auto"/>
                      <w:sz w:val="18"/>
                      <w:szCs w:val="18"/>
                      <w:u w:val="single" w:color="auto"/>
                      <w:lang w:val="en-US" w:eastAsia="zh-CN"/>
                    </w:rPr>
                    <w:t>资源开发效率</w:t>
                  </w:r>
                  <w:r>
                    <w:rPr>
                      <w:rFonts w:hint="eastAsia" w:ascii="Times New Roman" w:hAnsi="Times New Roman" w:eastAsia="宋体" w:cs="Times New Roman"/>
                      <w:i/>
                      <w:iCs/>
                      <w:color w:val="auto"/>
                      <w:sz w:val="18"/>
                      <w:szCs w:val="18"/>
                      <w:u w:val="single" w:color="auto"/>
                      <w:lang w:val="en-US" w:eastAsia="zh-CN"/>
                    </w:rPr>
                    <w:t>：--</w:t>
                  </w:r>
                </w:p>
              </w:tc>
              <w:tc>
                <w:tcPr>
                  <w:tcW w:w="474" w:type="pct"/>
                  <w:noWrap w:val="0"/>
                  <w:vAlign w:val="center"/>
                </w:tcPr>
                <w:p w14:paraId="3DFD0C3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iCs/>
                      <w:color w:val="auto"/>
                      <w:kern w:val="0"/>
                      <w:sz w:val="18"/>
                      <w:szCs w:val="18"/>
                      <w:u w:val="single" w:color="auto"/>
                      <w:lang w:val="en-US" w:eastAsia="zh-CN"/>
                    </w:rPr>
                  </w:pPr>
                  <w:r>
                    <w:rPr>
                      <w:rFonts w:hint="eastAsia" w:cs="Times New Roman"/>
                      <w:b w:val="0"/>
                      <w:bCs w:val="0"/>
                      <w:i/>
                      <w:iCs/>
                      <w:color w:val="auto"/>
                      <w:kern w:val="0"/>
                      <w:sz w:val="18"/>
                      <w:szCs w:val="18"/>
                      <w:u w:val="single" w:color="auto"/>
                      <w:lang w:val="en-US" w:eastAsia="zh-CN"/>
                    </w:rPr>
                    <w:t>项目废水不外排</w:t>
                  </w:r>
                </w:p>
              </w:tc>
            </w:tr>
            <w:tr w14:paraId="1E50AE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986" w:type="pct"/>
                  <w:noWrap w:val="0"/>
                  <w:vAlign w:val="center"/>
                </w:tcPr>
                <w:p w14:paraId="015B7116">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i/>
                      <w:iCs/>
                      <w:color w:val="auto"/>
                      <w:sz w:val="18"/>
                      <w:szCs w:val="18"/>
                      <w:u w:val="single" w:color="auto"/>
                      <w:lang w:val="en-US" w:eastAsia="zh-CN"/>
                    </w:rPr>
                  </w:pPr>
                  <w:r>
                    <w:rPr>
                      <w:rFonts w:hint="default" w:ascii="Times New Roman" w:hAnsi="Times New Roman" w:eastAsia="宋体" w:cs="Times New Roman"/>
                      <w:i/>
                      <w:iCs/>
                      <w:color w:val="auto"/>
                      <w:sz w:val="18"/>
                      <w:szCs w:val="18"/>
                      <w:u w:val="single" w:color="auto"/>
                      <w:lang w:val="en-US" w:eastAsia="zh-CN"/>
                    </w:rPr>
                    <w:t xml:space="preserve">YS2206053110001 </w:t>
                  </w:r>
                </w:p>
                <w:p w14:paraId="3E8D6798">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i/>
                      <w:iCs/>
                      <w:color w:val="auto"/>
                      <w:sz w:val="18"/>
                      <w:szCs w:val="18"/>
                      <w:u w:val="single" w:color="auto"/>
                      <w:lang w:val="en-US" w:eastAsia="zh-CN"/>
                    </w:rPr>
                  </w:pPr>
                </w:p>
              </w:tc>
              <w:tc>
                <w:tcPr>
                  <w:tcW w:w="640" w:type="pct"/>
                  <w:noWrap w:val="0"/>
                  <w:vAlign w:val="center"/>
                </w:tcPr>
                <w:p w14:paraId="1643A4B1">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i/>
                      <w:iCs/>
                      <w:color w:val="auto"/>
                      <w:sz w:val="18"/>
                      <w:szCs w:val="18"/>
                      <w:u w:val="single" w:color="auto"/>
                      <w:lang w:val="en-US" w:eastAsia="zh-CN"/>
                    </w:rPr>
                  </w:pPr>
                  <w:r>
                    <w:rPr>
                      <w:rFonts w:hint="default" w:ascii="Times New Roman" w:hAnsi="Times New Roman" w:eastAsia="宋体" w:cs="Times New Roman"/>
                      <w:i/>
                      <w:iCs/>
                      <w:color w:val="auto"/>
                      <w:sz w:val="18"/>
                      <w:szCs w:val="18"/>
                      <w:u w:val="single" w:color="auto"/>
                      <w:lang w:val="en-US" w:eastAsia="zh-CN"/>
                    </w:rPr>
                    <w:t xml:space="preserve">江源区⼀般管控区 </w:t>
                  </w:r>
                </w:p>
                <w:p w14:paraId="7AC31512">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i/>
                      <w:iCs/>
                      <w:color w:val="auto"/>
                      <w:sz w:val="18"/>
                      <w:szCs w:val="18"/>
                      <w:u w:val="single" w:color="auto"/>
                      <w:lang w:val="en-US" w:eastAsia="zh-CN"/>
                    </w:rPr>
                  </w:pPr>
                </w:p>
              </w:tc>
              <w:tc>
                <w:tcPr>
                  <w:tcW w:w="332" w:type="pct"/>
                  <w:noWrap w:val="0"/>
                  <w:vAlign w:val="center"/>
                </w:tcPr>
                <w:p w14:paraId="10FCF637">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i/>
                      <w:iCs/>
                      <w:color w:val="auto"/>
                      <w:sz w:val="18"/>
                      <w:szCs w:val="18"/>
                      <w:u w:val="single" w:color="auto"/>
                      <w:lang w:val="en-US" w:eastAsia="zh-CN"/>
                    </w:rPr>
                  </w:pPr>
                  <w:r>
                    <w:rPr>
                      <w:rFonts w:hint="default" w:ascii="Times New Roman" w:hAnsi="Times New Roman" w:eastAsia="宋体" w:cs="Times New Roman"/>
                      <w:i/>
                      <w:iCs/>
                      <w:color w:val="auto"/>
                      <w:sz w:val="18"/>
                      <w:szCs w:val="18"/>
                      <w:u w:val="single" w:color="auto"/>
                      <w:lang w:val="en-US" w:eastAsia="zh-CN"/>
                    </w:rPr>
                    <w:t>⼀般管控区</w:t>
                  </w:r>
                </w:p>
                <w:p w14:paraId="6EB1F849">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i/>
                      <w:iCs/>
                      <w:color w:val="auto"/>
                      <w:sz w:val="18"/>
                      <w:szCs w:val="18"/>
                      <w:u w:val="single" w:color="auto"/>
                      <w:lang w:val="en-US" w:eastAsia="zh-CN"/>
                    </w:rPr>
                  </w:pPr>
                </w:p>
              </w:tc>
              <w:tc>
                <w:tcPr>
                  <w:tcW w:w="736" w:type="pct"/>
                  <w:noWrap w:val="0"/>
                  <w:vAlign w:val="center"/>
                </w:tcPr>
                <w:p w14:paraId="65F28922">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i/>
                      <w:iCs/>
                      <w:color w:val="auto"/>
                      <w:sz w:val="18"/>
                      <w:szCs w:val="18"/>
                      <w:u w:val="single" w:color="auto"/>
                      <w:lang w:val="en-US" w:eastAsia="zh-CN"/>
                    </w:rPr>
                  </w:pPr>
                  <w:r>
                    <w:rPr>
                      <w:rFonts w:hint="eastAsia" w:ascii="Times New Roman" w:hAnsi="Times New Roman" w:eastAsia="宋体" w:cs="Times New Roman"/>
                      <w:i/>
                      <w:iCs/>
                      <w:color w:val="auto"/>
                      <w:sz w:val="18"/>
                      <w:szCs w:val="18"/>
                      <w:u w:val="single" w:color="auto"/>
                      <w:lang w:val="en-US" w:eastAsia="zh-CN"/>
                    </w:rPr>
                    <w:t>生态</w:t>
                  </w:r>
                </w:p>
              </w:tc>
              <w:tc>
                <w:tcPr>
                  <w:tcW w:w="1831" w:type="pct"/>
                  <w:noWrap w:val="0"/>
                  <w:vAlign w:val="center"/>
                </w:tcPr>
                <w:p w14:paraId="5D2402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Times New Roman" w:hAnsi="Times New Roman" w:eastAsia="宋体" w:cs="Times New Roman"/>
                      <w:i/>
                      <w:iCs/>
                      <w:color w:val="auto"/>
                      <w:sz w:val="18"/>
                      <w:szCs w:val="18"/>
                      <w:u w:val="single" w:color="auto"/>
                      <w:lang w:val="en-US" w:eastAsia="zh-CN"/>
                    </w:rPr>
                  </w:pPr>
                  <w:r>
                    <w:rPr>
                      <w:rFonts w:hint="eastAsia" w:ascii="Times New Roman" w:hAnsi="Times New Roman" w:eastAsia="宋体" w:cs="Times New Roman"/>
                      <w:i/>
                      <w:iCs/>
                      <w:color w:val="auto"/>
                      <w:sz w:val="18"/>
                      <w:szCs w:val="18"/>
                      <w:u w:val="single" w:color="auto"/>
                      <w:lang w:val="en-US" w:eastAsia="zh-CN"/>
                    </w:rPr>
                    <w:t xml:space="preserve">空间布局约束：-- </w:t>
                  </w:r>
                </w:p>
                <w:p w14:paraId="5A7859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Times New Roman" w:hAnsi="Times New Roman" w:eastAsia="宋体" w:cs="Times New Roman"/>
                      <w:i/>
                      <w:iCs/>
                      <w:color w:val="auto"/>
                      <w:sz w:val="18"/>
                      <w:szCs w:val="18"/>
                      <w:u w:val="single" w:color="auto"/>
                      <w:lang w:val="en-US" w:eastAsia="zh-CN"/>
                    </w:rPr>
                  </w:pPr>
                  <w:r>
                    <w:rPr>
                      <w:rFonts w:hint="eastAsia" w:ascii="Times New Roman" w:hAnsi="Times New Roman" w:eastAsia="宋体" w:cs="Times New Roman"/>
                      <w:i/>
                      <w:iCs/>
                      <w:color w:val="auto"/>
                      <w:sz w:val="18"/>
                      <w:szCs w:val="18"/>
                      <w:u w:val="single" w:color="auto"/>
                      <w:lang w:val="en-US" w:eastAsia="zh-CN"/>
                    </w:rPr>
                    <w:t>强化河流、湖库⽔域保护及管理，采取护岸护坡、河道整治、⽔⼟保持等多样化⼯程措施，实现⽔域⽣态恢复、⽔质⾃净综合⽬的。合理规划布局⼯业、商业、居住、科教等功能区块，逐步提⾼区域产业准⼊条件。</w:t>
                  </w:r>
                </w:p>
                <w:p w14:paraId="4B756A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Times New Roman" w:hAnsi="Times New Roman" w:eastAsia="宋体" w:cs="Times New Roman"/>
                      <w:i/>
                      <w:iCs/>
                      <w:color w:val="auto"/>
                      <w:sz w:val="18"/>
                      <w:szCs w:val="18"/>
                      <w:u w:val="single" w:color="auto"/>
                      <w:lang w:val="en-US" w:eastAsia="zh-CN"/>
                    </w:rPr>
                  </w:pPr>
                  <w:r>
                    <w:rPr>
                      <w:rFonts w:hint="eastAsia" w:ascii="Times New Roman" w:hAnsi="Times New Roman" w:eastAsia="宋体" w:cs="Times New Roman"/>
                      <w:i/>
                      <w:iCs/>
                      <w:color w:val="auto"/>
                      <w:sz w:val="18"/>
                      <w:szCs w:val="18"/>
                      <w:u w:val="single" w:color="auto"/>
                      <w:lang w:val="en-US" w:eastAsia="zh-CN"/>
                    </w:rPr>
                    <w:t>污染物排放管控：--</w:t>
                  </w:r>
                </w:p>
                <w:p w14:paraId="48A8B3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Times New Roman" w:hAnsi="Times New Roman" w:eastAsia="宋体" w:cs="Times New Roman"/>
                      <w:i/>
                      <w:iCs/>
                      <w:color w:val="auto"/>
                      <w:sz w:val="18"/>
                      <w:szCs w:val="18"/>
                      <w:u w:val="single" w:color="auto"/>
                      <w:lang w:val="en-US" w:eastAsia="zh-CN"/>
                    </w:rPr>
                  </w:pPr>
                  <w:r>
                    <w:rPr>
                      <w:rFonts w:hint="eastAsia" w:ascii="Times New Roman" w:hAnsi="Times New Roman" w:eastAsia="宋体" w:cs="Times New Roman"/>
                      <w:i/>
                      <w:iCs/>
                      <w:color w:val="auto"/>
                      <w:sz w:val="18"/>
                      <w:szCs w:val="18"/>
                      <w:u w:val="single" w:color="auto"/>
                      <w:lang w:val="en-US" w:eastAsia="zh-CN"/>
                    </w:rPr>
                    <w:t>环境⻛险管控：--</w:t>
                  </w:r>
                </w:p>
                <w:p w14:paraId="06141D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default" w:ascii="Times New Roman" w:hAnsi="Times New Roman" w:eastAsia="宋体" w:cs="Times New Roman"/>
                      <w:i/>
                      <w:iCs/>
                      <w:color w:val="auto"/>
                      <w:sz w:val="18"/>
                      <w:szCs w:val="18"/>
                      <w:u w:val="single" w:color="auto"/>
                      <w:lang w:val="en-US" w:eastAsia="zh-CN"/>
                    </w:rPr>
                  </w:pPr>
                  <w:r>
                    <w:rPr>
                      <w:rFonts w:hint="eastAsia" w:ascii="Times New Roman" w:hAnsi="Times New Roman" w:eastAsia="宋体" w:cs="Times New Roman"/>
                      <w:i/>
                      <w:iCs/>
                      <w:color w:val="auto"/>
                      <w:sz w:val="18"/>
                      <w:szCs w:val="18"/>
                      <w:u w:val="single" w:color="auto"/>
                      <w:lang w:val="en-US" w:eastAsia="zh-CN"/>
                    </w:rPr>
                    <w:t>资源开发效率：--</w:t>
                  </w:r>
                </w:p>
              </w:tc>
              <w:tc>
                <w:tcPr>
                  <w:tcW w:w="474" w:type="pct"/>
                  <w:noWrap w:val="0"/>
                  <w:vAlign w:val="center"/>
                </w:tcPr>
                <w:p w14:paraId="25B0D05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iCs/>
                      <w:color w:val="auto"/>
                      <w:kern w:val="0"/>
                      <w:sz w:val="18"/>
                      <w:szCs w:val="18"/>
                      <w:u w:val="single" w:color="auto"/>
                      <w:lang w:val="en-US" w:eastAsia="zh-CN"/>
                    </w:rPr>
                  </w:pPr>
                  <w:r>
                    <w:rPr>
                      <w:rFonts w:hint="eastAsia" w:cs="Times New Roman"/>
                      <w:b w:val="0"/>
                      <w:bCs w:val="0"/>
                      <w:i/>
                      <w:iCs/>
                      <w:color w:val="auto"/>
                      <w:kern w:val="0"/>
                      <w:sz w:val="18"/>
                      <w:szCs w:val="18"/>
                      <w:u w:val="single" w:color="auto"/>
                      <w:lang w:val="en-US" w:eastAsia="zh-CN"/>
                    </w:rPr>
                    <w:t>项目选址在现有的厂区内，不新占用土地</w:t>
                  </w:r>
                </w:p>
              </w:tc>
            </w:tr>
            <w:tr w14:paraId="36C0F2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986" w:type="pct"/>
                  <w:vMerge w:val="restart"/>
                  <w:noWrap w:val="0"/>
                  <w:vAlign w:val="center"/>
                </w:tcPr>
                <w:p w14:paraId="58F728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i/>
                      <w:iCs/>
                      <w:color w:val="auto"/>
                      <w:sz w:val="18"/>
                      <w:szCs w:val="18"/>
                      <w:u w:val="single" w:color="auto"/>
                      <w:lang w:val="en-US" w:eastAsia="zh-CN"/>
                    </w:rPr>
                  </w:pPr>
                  <w:r>
                    <w:rPr>
                      <w:rFonts w:hint="default" w:ascii="Times New Roman" w:hAnsi="Times New Roman" w:eastAsia="宋体" w:cs="Times New Roman"/>
                      <w:i/>
                      <w:iCs/>
                      <w:color w:val="auto"/>
                      <w:sz w:val="18"/>
                      <w:szCs w:val="18"/>
                      <w:u w:val="single" w:color="auto"/>
                      <w:lang w:val="en-US" w:eastAsia="zh-CN"/>
                    </w:rPr>
                    <w:t>ZH22060520004</w:t>
                  </w:r>
                </w:p>
                <w:p w14:paraId="5D67B5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default" w:ascii="Times New Roman" w:hAnsi="Times New Roman" w:eastAsia="宋体" w:cs="Times New Roman"/>
                      <w:i/>
                      <w:iCs/>
                      <w:color w:val="auto"/>
                      <w:sz w:val="18"/>
                      <w:szCs w:val="18"/>
                      <w:u w:val="single" w:color="auto"/>
                      <w:lang w:val="en-US" w:eastAsia="zh-CN"/>
                    </w:rPr>
                  </w:pPr>
                </w:p>
              </w:tc>
              <w:tc>
                <w:tcPr>
                  <w:tcW w:w="640" w:type="pct"/>
                  <w:vMerge w:val="restart"/>
                  <w:noWrap w:val="0"/>
                  <w:vAlign w:val="center"/>
                </w:tcPr>
                <w:p w14:paraId="2F3969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i/>
                      <w:iCs/>
                      <w:color w:val="auto"/>
                      <w:sz w:val="18"/>
                      <w:szCs w:val="18"/>
                      <w:u w:val="single" w:color="auto"/>
                      <w:lang w:val="en-US" w:eastAsia="zh-CN"/>
                    </w:rPr>
                  </w:pPr>
                  <w:r>
                    <w:rPr>
                      <w:rFonts w:hint="default" w:ascii="Times New Roman" w:hAnsi="Times New Roman" w:eastAsia="宋体" w:cs="Times New Roman"/>
                      <w:i/>
                      <w:iCs/>
                      <w:color w:val="auto"/>
                      <w:sz w:val="18"/>
                      <w:szCs w:val="18"/>
                      <w:u w:val="single" w:color="auto"/>
                      <w:lang w:val="en-US" w:eastAsia="zh-CN"/>
                    </w:rPr>
                    <w:t>江源区⼤⽓环境⾼排放重点管控区</w:t>
                  </w:r>
                </w:p>
                <w:p w14:paraId="2DE500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default" w:ascii="Times New Roman" w:hAnsi="Times New Roman" w:eastAsia="宋体" w:cs="Times New Roman"/>
                      <w:i/>
                      <w:iCs/>
                      <w:color w:val="auto"/>
                      <w:sz w:val="18"/>
                      <w:szCs w:val="18"/>
                      <w:u w:val="single" w:color="auto"/>
                      <w:lang w:val="en-US" w:eastAsia="zh-CN"/>
                    </w:rPr>
                  </w:pPr>
                </w:p>
              </w:tc>
              <w:tc>
                <w:tcPr>
                  <w:tcW w:w="332" w:type="pct"/>
                  <w:vMerge w:val="restart"/>
                  <w:noWrap w:val="0"/>
                  <w:vAlign w:val="center"/>
                </w:tcPr>
                <w:p w14:paraId="272FE5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default" w:ascii="Times New Roman" w:hAnsi="Times New Roman" w:eastAsia="宋体" w:cs="Times New Roman"/>
                      <w:i/>
                      <w:iCs/>
                      <w:color w:val="auto"/>
                      <w:sz w:val="18"/>
                      <w:szCs w:val="18"/>
                      <w:u w:val="single" w:color="auto"/>
                      <w:lang w:val="en-US" w:eastAsia="zh-CN"/>
                    </w:rPr>
                  </w:pPr>
                  <w:r>
                    <w:rPr>
                      <w:rFonts w:hint="default" w:ascii="Times New Roman" w:hAnsi="Times New Roman" w:eastAsia="宋体" w:cs="Times New Roman"/>
                      <w:i/>
                      <w:iCs/>
                      <w:color w:val="auto"/>
                      <w:sz w:val="18"/>
                      <w:szCs w:val="18"/>
                      <w:u w:val="single" w:color="auto"/>
                      <w:lang w:val="en-US" w:eastAsia="zh-CN"/>
                    </w:rPr>
                    <w:t xml:space="preserve">重点管控单元 </w:t>
                  </w:r>
                </w:p>
                <w:p w14:paraId="0713BC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default" w:ascii="Times New Roman" w:hAnsi="Times New Roman" w:eastAsia="宋体" w:cs="Times New Roman"/>
                      <w:i/>
                      <w:iCs/>
                      <w:color w:val="auto"/>
                      <w:sz w:val="18"/>
                      <w:szCs w:val="18"/>
                      <w:u w:val="single" w:color="auto"/>
                      <w:lang w:val="en-US" w:eastAsia="zh-CN"/>
                    </w:rPr>
                  </w:pPr>
                </w:p>
              </w:tc>
              <w:tc>
                <w:tcPr>
                  <w:tcW w:w="736" w:type="pct"/>
                  <w:vMerge w:val="restart"/>
                  <w:noWrap w:val="0"/>
                  <w:vAlign w:val="center"/>
                </w:tcPr>
                <w:p w14:paraId="3E7856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i/>
                      <w:iCs/>
                      <w:color w:val="auto"/>
                      <w:sz w:val="18"/>
                      <w:szCs w:val="18"/>
                      <w:u w:val="single" w:color="auto"/>
                      <w:lang w:val="en-US" w:eastAsia="zh-CN"/>
                    </w:rPr>
                  </w:pPr>
                  <w:r>
                    <w:rPr>
                      <w:rFonts w:hint="default" w:ascii="Times New Roman" w:hAnsi="Times New Roman" w:eastAsia="宋体" w:cs="Times New Roman"/>
                      <w:i/>
                      <w:iCs/>
                      <w:color w:val="auto"/>
                      <w:sz w:val="18"/>
                      <w:szCs w:val="18"/>
                      <w:u w:val="single" w:color="auto"/>
                      <w:lang w:val="en-US" w:eastAsia="zh-CN"/>
                    </w:rPr>
                    <w:t>⼤⽓环境⾼排放重点管控区、建设⽤地污染⻛险重点管控区、江源五道⽺岔铁矿重点矿区</w:t>
                  </w:r>
                </w:p>
                <w:p w14:paraId="2C982B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default" w:ascii="Times New Roman" w:hAnsi="Times New Roman" w:eastAsia="宋体" w:cs="Times New Roman"/>
                      <w:i/>
                      <w:iCs/>
                      <w:color w:val="auto"/>
                      <w:sz w:val="18"/>
                      <w:szCs w:val="18"/>
                      <w:u w:val="single" w:color="auto"/>
                      <w:lang w:val="en-US" w:eastAsia="zh-CN"/>
                    </w:rPr>
                  </w:pPr>
                </w:p>
              </w:tc>
              <w:tc>
                <w:tcPr>
                  <w:tcW w:w="1831" w:type="pct"/>
                  <w:noWrap w:val="0"/>
                  <w:vAlign w:val="center"/>
                </w:tcPr>
                <w:p w14:paraId="647811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default" w:ascii="Times New Roman" w:hAnsi="Times New Roman" w:eastAsia="宋体" w:cs="Times New Roman"/>
                      <w:i/>
                      <w:iCs/>
                      <w:color w:val="auto"/>
                      <w:sz w:val="18"/>
                      <w:szCs w:val="18"/>
                      <w:u w:val="single" w:color="auto"/>
                    </w:rPr>
                  </w:pPr>
                  <w:r>
                    <w:rPr>
                      <w:rFonts w:hint="default" w:ascii="Times New Roman" w:hAnsi="Times New Roman" w:eastAsia="宋体" w:cs="Times New Roman"/>
                      <w:i/>
                      <w:iCs/>
                      <w:color w:val="auto"/>
                      <w:sz w:val="18"/>
                      <w:szCs w:val="18"/>
                      <w:u w:val="single" w:color="auto"/>
                      <w:lang w:val="en-US" w:eastAsia="zh-CN"/>
                    </w:rPr>
                    <w:t>空间布局约束：</w:t>
                  </w:r>
                </w:p>
                <w:p w14:paraId="476D22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default" w:ascii="Times New Roman" w:hAnsi="Times New Roman" w:eastAsia="宋体" w:cs="Times New Roman"/>
                      <w:i/>
                      <w:iCs/>
                      <w:color w:val="auto"/>
                      <w:sz w:val="18"/>
                      <w:szCs w:val="18"/>
                      <w:u w:val="single" w:color="auto"/>
                      <w:lang w:val="en-US" w:eastAsia="zh-CN"/>
                    </w:rPr>
                  </w:pPr>
                  <w:r>
                    <w:rPr>
                      <w:rFonts w:hint="default" w:ascii="Times New Roman" w:hAnsi="Times New Roman" w:eastAsia="宋体" w:cs="Times New Roman"/>
                      <w:i/>
                      <w:iCs/>
                      <w:color w:val="auto"/>
                      <w:sz w:val="18"/>
                      <w:szCs w:val="18"/>
                      <w:u w:val="single" w:color="auto"/>
                      <w:lang w:val="en-US" w:eastAsia="zh-CN"/>
                    </w:rPr>
                    <w:t>1严格控制钢铁、焦化、电解铝、铸造、⽔泥和平板玻璃等⾏业新增产能，列⼊去产能的钢铁企业退出时须⼀并退出配套的烧结、焦炉、⾼炉等设备。</w:t>
                  </w:r>
                </w:p>
                <w:p w14:paraId="3432B8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default" w:ascii="Times New Roman" w:hAnsi="Times New Roman" w:eastAsia="宋体" w:cs="Times New Roman"/>
                      <w:i/>
                      <w:iCs/>
                      <w:color w:val="auto"/>
                      <w:sz w:val="18"/>
                      <w:szCs w:val="18"/>
                      <w:u w:val="single" w:color="auto"/>
                      <w:lang w:val="en-US" w:eastAsia="zh-CN"/>
                    </w:rPr>
                  </w:pPr>
                  <w:r>
                    <w:rPr>
                      <w:rFonts w:hint="default" w:ascii="Times New Roman" w:hAnsi="Times New Roman" w:eastAsia="宋体" w:cs="Times New Roman"/>
                      <w:i/>
                      <w:iCs/>
                      <w:color w:val="auto"/>
                      <w:sz w:val="18"/>
                      <w:szCs w:val="18"/>
                      <w:u w:val="single" w:color="auto"/>
                      <w:lang w:val="en-US" w:eastAsia="zh-CN"/>
                    </w:rPr>
                    <w:t>2重点矿区严格矿⼭地质环境保护准⼊管理，新建矿⼭矿产资源开发利⽤⽅案与矿⼭地质环境保护与⼟地复垦⽅案同步编制、同步审查、同步实施，编制绿⾊矿⼭建设实施⽅案。采矿权⼈应当严格执⾏经批准的矿⼭地质环境保护与⼟地复垦⽅案，开采矿产资源造成矿⼭地质环境破坏的，由采矿权⼈负责治 理恢复。</w:t>
                  </w:r>
                </w:p>
              </w:tc>
              <w:tc>
                <w:tcPr>
                  <w:tcW w:w="474" w:type="pct"/>
                  <w:noWrap w:val="0"/>
                  <w:vAlign w:val="center"/>
                </w:tcPr>
                <w:p w14:paraId="2CB6DEE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iCs/>
                      <w:color w:val="auto"/>
                      <w:sz w:val="18"/>
                      <w:szCs w:val="18"/>
                      <w:u w:val="single" w:color="auto"/>
                      <w:lang w:val="en-US" w:eastAsia="zh-CN"/>
                    </w:rPr>
                  </w:pPr>
                  <w:r>
                    <w:rPr>
                      <w:rFonts w:hint="eastAsia" w:cs="Times New Roman"/>
                      <w:b w:val="0"/>
                      <w:bCs w:val="0"/>
                      <w:i/>
                      <w:iCs/>
                      <w:color w:val="auto"/>
                      <w:sz w:val="18"/>
                      <w:szCs w:val="18"/>
                      <w:u w:val="single" w:color="auto"/>
                      <w:lang w:val="en-US" w:eastAsia="zh-CN"/>
                    </w:rPr>
                    <w:t>不涉及</w:t>
                  </w:r>
                </w:p>
              </w:tc>
            </w:tr>
            <w:tr w14:paraId="58C40C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986" w:type="pct"/>
                  <w:vMerge w:val="continue"/>
                  <w:noWrap w:val="0"/>
                  <w:vAlign w:val="center"/>
                </w:tcPr>
                <w:p w14:paraId="2FFE536B">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i/>
                      <w:iCs/>
                      <w:color w:val="auto"/>
                      <w:kern w:val="0"/>
                      <w:sz w:val="18"/>
                      <w:szCs w:val="18"/>
                      <w:u w:val="single" w:color="auto"/>
                      <w:lang w:val="en-US" w:eastAsia="zh-CN" w:bidi="ar-SA"/>
                    </w:rPr>
                  </w:pPr>
                </w:p>
              </w:tc>
              <w:tc>
                <w:tcPr>
                  <w:tcW w:w="640" w:type="pct"/>
                  <w:vMerge w:val="continue"/>
                  <w:noWrap w:val="0"/>
                  <w:vAlign w:val="center"/>
                </w:tcPr>
                <w:p w14:paraId="0070A9C2">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i/>
                      <w:iCs/>
                      <w:color w:val="auto"/>
                      <w:kern w:val="0"/>
                      <w:sz w:val="18"/>
                      <w:szCs w:val="18"/>
                      <w:u w:val="single" w:color="auto"/>
                      <w:lang w:val="en-US" w:eastAsia="zh-CN" w:bidi="ar-SA"/>
                    </w:rPr>
                  </w:pPr>
                </w:p>
              </w:tc>
              <w:tc>
                <w:tcPr>
                  <w:tcW w:w="332" w:type="pct"/>
                  <w:vMerge w:val="continue"/>
                  <w:noWrap w:val="0"/>
                  <w:vAlign w:val="center"/>
                </w:tcPr>
                <w:p w14:paraId="07ECA63E">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i/>
                      <w:iCs/>
                      <w:color w:val="auto"/>
                      <w:kern w:val="0"/>
                      <w:sz w:val="18"/>
                      <w:szCs w:val="18"/>
                      <w:u w:val="single" w:color="auto"/>
                      <w:lang w:val="en-US" w:eastAsia="zh-CN" w:bidi="ar-SA"/>
                    </w:rPr>
                  </w:pPr>
                </w:p>
              </w:tc>
              <w:tc>
                <w:tcPr>
                  <w:tcW w:w="736" w:type="pct"/>
                  <w:vMerge w:val="continue"/>
                  <w:noWrap w:val="0"/>
                  <w:vAlign w:val="center"/>
                </w:tcPr>
                <w:p w14:paraId="37D73D0C">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i/>
                      <w:iCs/>
                      <w:color w:val="auto"/>
                      <w:kern w:val="0"/>
                      <w:sz w:val="18"/>
                      <w:szCs w:val="18"/>
                      <w:u w:val="single" w:color="auto"/>
                      <w:lang w:val="en-US" w:eastAsia="zh-CN" w:bidi="ar-SA"/>
                    </w:rPr>
                  </w:pPr>
                </w:p>
              </w:tc>
              <w:tc>
                <w:tcPr>
                  <w:tcW w:w="1831" w:type="pct"/>
                  <w:noWrap w:val="0"/>
                  <w:vAlign w:val="center"/>
                </w:tcPr>
                <w:p w14:paraId="4E82B3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default" w:ascii="Times New Roman" w:hAnsi="Times New Roman" w:eastAsia="宋体" w:cs="Times New Roman"/>
                      <w:i/>
                      <w:iCs/>
                      <w:color w:val="auto"/>
                      <w:sz w:val="18"/>
                      <w:szCs w:val="18"/>
                      <w:u w:val="single" w:color="auto"/>
                    </w:rPr>
                  </w:pPr>
                  <w:r>
                    <w:rPr>
                      <w:rFonts w:hint="default" w:ascii="Times New Roman" w:hAnsi="Times New Roman" w:eastAsia="宋体" w:cs="Times New Roman"/>
                      <w:i/>
                      <w:iCs/>
                      <w:color w:val="auto"/>
                      <w:sz w:val="18"/>
                      <w:szCs w:val="18"/>
                      <w:u w:val="single" w:color="auto"/>
                      <w:lang w:val="en-US" w:eastAsia="zh-CN"/>
                    </w:rPr>
                    <w:t>污染物排放管控：</w:t>
                  </w:r>
                </w:p>
                <w:p w14:paraId="432EBC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default" w:ascii="Times New Roman" w:hAnsi="Times New Roman" w:eastAsia="宋体" w:cs="Times New Roman"/>
                      <w:i/>
                      <w:iCs/>
                      <w:color w:val="auto"/>
                      <w:sz w:val="18"/>
                      <w:szCs w:val="18"/>
                      <w:u w:val="single" w:color="auto"/>
                      <w:lang w:val="en-US" w:eastAsia="zh-CN"/>
                    </w:rPr>
                  </w:pPr>
                  <w:r>
                    <w:rPr>
                      <w:rFonts w:hint="default" w:ascii="Times New Roman" w:hAnsi="Times New Roman" w:eastAsia="宋体" w:cs="Times New Roman"/>
                      <w:i/>
                      <w:iCs/>
                      <w:color w:val="auto"/>
                      <w:sz w:val="18"/>
                      <w:szCs w:val="18"/>
                      <w:u w:val="single" w:color="auto"/>
                      <w:lang w:val="en-US" w:eastAsia="zh-CN"/>
                    </w:rPr>
                    <w:t xml:space="preserve">1深化⼯业污染治理，持续推进⼯业污染源全⾯达标排放，加⼤⼯业污染源烟⽓⾼效脱硫脱硝、除尘改造⼒度。推进重点⾏业污染治理升级改造。 2⼀体推进重点⾏业⼤⽓污染深度治理与节能降碳，推动⼤型燃煤锅炉、钢铁、⽔泥等⾏业超低排放改造，推动重点⾏业、重点领域氮氧化物减排，探索开展⼤⽓污染物与温室⽓体排放协同控制改造提升⼯程试点。 </w:t>
                  </w:r>
                </w:p>
              </w:tc>
              <w:tc>
                <w:tcPr>
                  <w:tcW w:w="474" w:type="pct"/>
                  <w:noWrap w:val="0"/>
                  <w:vAlign w:val="center"/>
                </w:tcPr>
                <w:p w14:paraId="658FA49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iCs/>
                      <w:color w:val="auto"/>
                      <w:sz w:val="18"/>
                      <w:szCs w:val="18"/>
                      <w:u w:val="single" w:color="auto"/>
                      <w:lang w:val="en-US" w:eastAsia="zh-CN"/>
                    </w:rPr>
                  </w:pPr>
                  <w:r>
                    <w:rPr>
                      <w:rFonts w:hint="eastAsia" w:cs="Times New Roman"/>
                      <w:b w:val="0"/>
                      <w:bCs w:val="0"/>
                      <w:i/>
                      <w:iCs/>
                      <w:color w:val="auto"/>
                      <w:sz w:val="18"/>
                      <w:szCs w:val="18"/>
                      <w:u w:val="single" w:color="auto"/>
                      <w:lang w:val="en-US" w:eastAsia="zh-CN"/>
                    </w:rPr>
                    <w:t>不涉及</w:t>
                  </w:r>
                </w:p>
              </w:tc>
            </w:tr>
            <w:tr w14:paraId="1B800E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86" w:type="pct"/>
                  <w:vMerge w:val="continue"/>
                  <w:noWrap w:val="0"/>
                  <w:vAlign w:val="center"/>
                </w:tcPr>
                <w:p w14:paraId="11B07A8F">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i/>
                      <w:iCs/>
                      <w:color w:val="auto"/>
                      <w:kern w:val="0"/>
                      <w:sz w:val="18"/>
                      <w:szCs w:val="18"/>
                      <w:u w:val="single" w:color="auto"/>
                      <w:lang w:val="en-US" w:eastAsia="zh-CN" w:bidi="ar-SA"/>
                    </w:rPr>
                  </w:pPr>
                </w:p>
              </w:tc>
              <w:tc>
                <w:tcPr>
                  <w:tcW w:w="640" w:type="pct"/>
                  <w:vMerge w:val="continue"/>
                  <w:noWrap w:val="0"/>
                  <w:vAlign w:val="center"/>
                </w:tcPr>
                <w:p w14:paraId="3BF81ABB">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i/>
                      <w:iCs/>
                      <w:color w:val="auto"/>
                      <w:kern w:val="0"/>
                      <w:sz w:val="18"/>
                      <w:szCs w:val="18"/>
                      <w:u w:val="single" w:color="auto"/>
                      <w:lang w:val="en-US" w:eastAsia="zh-CN" w:bidi="ar-SA"/>
                    </w:rPr>
                  </w:pPr>
                </w:p>
              </w:tc>
              <w:tc>
                <w:tcPr>
                  <w:tcW w:w="332" w:type="pct"/>
                  <w:vMerge w:val="continue"/>
                  <w:noWrap w:val="0"/>
                  <w:vAlign w:val="center"/>
                </w:tcPr>
                <w:p w14:paraId="5B725453">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i/>
                      <w:iCs/>
                      <w:color w:val="auto"/>
                      <w:kern w:val="0"/>
                      <w:sz w:val="18"/>
                      <w:szCs w:val="18"/>
                      <w:u w:val="single" w:color="auto"/>
                      <w:lang w:val="en-US" w:eastAsia="zh-CN" w:bidi="ar-SA"/>
                    </w:rPr>
                  </w:pPr>
                </w:p>
              </w:tc>
              <w:tc>
                <w:tcPr>
                  <w:tcW w:w="736" w:type="pct"/>
                  <w:vMerge w:val="continue"/>
                  <w:noWrap w:val="0"/>
                  <w:vAlign w:val="center"/>
                </w:tcPr>
                <w:p w14:paraId="0A262BDA">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i/>
                      <w:iCs/>
                      <w:color w:val="auto"/>
                      <w:kern w:val="0"/>
                      <w:sz w:val="18"/>
                      <w:szCs w:val="18"/>
                      <w:u w:val="single" w:color="auto"/>
                      <w:lang w:val="en-US" w:eastAsia="zh-CN" w:bidi="ar-SA"/>
                    </w:rPr>
                  </w:pPr>
                </w:p>
              </w:tc>
              <w:tc>
                <w:tcPr>
                  <w:tcW w:w="1831" w:type="pct"/>
                  <w:noWrap w:val="0"/>
                  <w:vAlign w:val="center"/>
                </w:tcPr>
                <w:p w14:paraId="622553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default" w:ascii="Times New Roman" w:hAnsi="Times New Roman" w:eastAsia="宋体" w:cs="Times New Roman"/>
                      <w:i/>
                      <w:iCs/>
                      <w:color w:val="auto"/>
                      <w:sz w:val="18"/>
                      <w:szCs w:val="18"/>
                      <w:u w:val="single" w:color="auto"/>
                    </w:rPr>
                  </w:pPr>
                  <w:r>
                    <w:rPr>
                      <w:rFonts w:hint="default" w:ascii="Times New Roman" w:hAnsi="Times New Roman" w:eastAsia="宋体" w:cs="Times New Roman"/>
                      <w:i/>
                      <w:iCs/>
                      <w:color w:val="auto"/>
                      <w:sz w:val="18"/>
                      <w:szCs w:val="18"/>
                      <w:u w:val="single" w:color="auto"/>
                      <w:lang w:val="en-US" w:eastAsia="zh-CN"/>
                    </w:rPr>
                    <w:t>环境⻛险管控：</w:t>
                  </w:r>
                  <w:r>
                    <w:rPr>
                      <w:rFonts w:hint="eastAsia" w:ascii="Times New Roman" w:hAnsi="Times New Roman" w:eastAsia="宋体" w:cs="Times New Roman"/>
                      <w:i/>
                      <w:iCs/>
                      <w:color w:val="auto"/>
                      <w:sz w:val="18"/>
                      <w:szCs w:val="18"/>
                      <w:u w:val="single" w:color="auto"/>
                      <w:lang w:val="en-US" w:eastAsia="zh-CN"/>
                    </w:rPr>
                    <w:t>--</w:t>
                  </w:r>
                  <w:r>
                    <w:rPr>
                      <w:rFonts w:hint="default" w:ascii="Times New Roman" w:hAnsi="Times New Roman" w:eastAsia="宋体" w:cs="Times New Roman"/>
                      <w:i/>
                      <w:iCs/>
                      <w:color w:val="auto"/>
                      <w:sz w:val="18"/>
                      <w:szCs w:val="18"/>
                      <w:u w:val="single" w:color="auto"/>
                      <w:lang w:val="en-US" w:eastAsia="zh-CN"/>
                    </w:rPr>
                    <w:t xml:space="preserve"> </w:t>
                  </w:r>
                </w:p>
                <w:p w14:paraId="0A3F62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default" w:ascii="Times New Roman" w:hAnsi="Times New Roman" w:eastAsia="宋体" w:cs="Times New Roman"/>
                      <w:i/>
                      <w:iCs/>
                      <w:color w:val="auto"/>
                      <w:sz w:val="18"/>
                      <w:szCs w:val="18"/>
                      <w:u w:val="single" w:color="auto"/>
                      <w:lang w:val="en-US" w:eastAsia="zh-CN"/>
                    </w:rPr>
                  </w:pPr>
                  <w:r>
                    <w:rPr>
                      <w:rFonts w:hint="default" w:ascii="Times New Roman" w:hAnsi="Times New Roman" w:eastAsia="宋体" w:cs="Times New Roman"/>
                      <w:i/>
                      <w:iCs/>
                      <w:color w:val="auto"/>
                      <w:sz w:val="18"/>
                      <w:szCs w:val="18"/>
                      <w:u w:val="single" w:color="auto"/>
                      <w:lang w:val="en-US" w:eastAsia="zh-CN"/>
                    </w:rPr>
                    <w:t>资源开发效率：完成吉林省下达的产能置换要求。</w:t>
                  </w:r>
                </w:p>
              </w:tc>
              <w:tc>
                <w:tcPr>
                  <w:tcW w:w="474" w:type="pct"/>
                  <w:noWrap w:val="0"/>
                  <w:vAlign w:val="center"/>
                </w:tcPr>
                <w:p w14:paraId="29BBBFE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iCs/>
                      <w:color w:val="auto"/>
                      <w:sz w:val="18"/>
                      <w:szCs w:val="18"/>
                      <w:u w:val="single" w:color="auto"/>
                      <w:lang w:val="en-US" w:eastAsia="zh-CN"/>
                    </w:rPr>
                  </w:pPr>
                  <w:r>
                    <w:rPr>
                      <w:rFonts w:hint="eastAsia" w:cs="Times New Roman"/>
                      <w:b w:val="0"/>
                      <w:bCs w:val="0"/>
                      <w:i/>
                      <w:iCs/>
                      <w:color w:val="auto"/>
                      <w:sz w:val="18"/>
                      <w:szCs w:val="18"/>
                      <w:u w:val="single" w:color="auto"/>
                      <w:lang w:val="en-US" w:eastAsia="zh-CN"/>
                    </w:rPr>
                    <w:t>不涉及</w:t>
                  </w:r>
                </w:p>
              </w:tc>
            </w:tr>
          </w:tbl>
          <w:p w14:paraId="22BBADBC">
            <w:pPr>
              <w:keepNext w:val="0"/>
              <w:keepLines w:val="0"/>
              <w:widowControl/>
              <w:suppressLineNumbers w:val="0"/>
              <w:spacing w:before="0" w:beforeAutospacing="0" w:after="0" w:afterAutospacing="0" w:line="360" w:lineRule="auto"/>
              <w:ind w:left="0" w:right="0" w:firstLine="200" w:firstLineChars="200"/>
              <w:rPr>
                <w:rFonts w:hint="default" w:ascii="Times New Roman" w:hAnsi="Times New Roman" w:cs="Times New Roman"/>
                <w:i w:val="0"/>
                <w:iCs w:val="0"/>
                <w:color w:val="auto"/>
                <w:sz w:val="10"/>
                <w:szCs w:val="10"/>
                <w:u w:val="none" w:color="auto"/>
              </w:rPr>
            </w:pPr>
          </w:p>
          <w:p w14:paraId="5F6A94F6">
            <w:pPr>
              <w:adjustRightInd w:val="0"/>
              <w:snapToGrid w:val="0"/>
              <w:spacing w:line="360" w:lineRule="auto"/>
              <w:ind w:firstLine="420" w:firstLineChars="200"/>
              <w:rPr>
                <w:rFonts w:hint="default" w:ascii="Times New Roman" w:hAnsi="Times New Roman" w:cs="Times New Roman"/>
                <w:i w:val="0"/>
                <w:iCs w:val="0"/>
                <w:color w:val="auto"/>
                <w:sz w:val="21"/>
                <w:szCs w:val="21"/>
                <w:u w:val="none" w:color="auto"/>
              </w:rPr>
            </w:pPr>
            <w:r>
              <w:rPr>
                <w:rFonts w:hint="default" w:ascii="Times New Roman" w:hAnsi="Times New Roman" w:cs="Times New Roman"/>
                <w:i w:val="0"/>
                <w:iCs w:val="0"/>
                <w:color w:val="auto"/>
                <w:sz w:val="21"/>
                <w:szCs w:val="21"/>
                <w:u w:val="none" w:color="auto"/>
              </w:rPr>
              <w:t>经分析，本项目的建设不涉及生态保护红线，不会突破资源利用上线，不会降低区域环境质量底线，本项目不属于负面发展清单的产业，符合</w:t>
            </w:r>
            <w:r>
              <w:rPr>
                <w:rFonts w:hint="eastAsia" w:ascii="宋体" w:hAnsi="宋体" w:eastAsia="宋体" w:cs="宋体"/>
                <w:i w:val="0"/>
                <w:iCs w:val="0"/>
                <w:color w:val="auto"/>
                <w:sz w:val="21"/>
                <w:szCs w:val="21"/>
                <w:u w:val="none" w:color="auto"/>
              </w:rPr>
              <w:t>“三线一单”</w:t>
            </w:r>
            <w:r>
              <w:rPr>
                <w:rFonts w:hint="default" w:ascii="Times New Roman" w:hAnsi="Times New Roman" w:cs="Times New Roman"/>
                <w:i w:val="0"/>
                <w:iCs w:val="0"/>
                <w:color w:val="auto"/>
                <w:sz w:val="21"/>
                <w:szCs w:val="21"/>
                <w:u w:val="none" w:color="auto"/>
              </w:rPr>
              <w:t>的相关要求，建设可行。</w:t>
            </w:r>
          </w:p>
          <w:p w14:paraId="44F17718">
            <w:pPr>
              <w:adjustRightInd w:val="0"/>
              <w:snapToGrid w:val="0"/>
              <w:spacing w:line="360" w:lineRule="auto"/>
              <w:rPr>
                <w:iCs/>
                <w:color w:val="auto"/>
              </w:rPr>
            </w:pPr>
            <w:r>
              <w:rPr>
                <w:rFonts w:hint="eastAsia"/>
                <w:iCs/>
                <w:color w:val="auto"/>
              </w:rPr>
              <w:t>3</w:t>
            </w:r>
            <w:r>
              <w:rPr>
                <w:iCs/>
                <w:color w:val="auto"/>
              </w:rPr>
              <w:t>、与吉林省空气、水环境、土壤环境质量巩固提升三个行动方案相符性分析</w:t>
            </w:r>
          </w:p>
          <w:p w14:paraId="27F147A5">
            <w:pPr>
              <w:widowControl/>
              <w:spacing w:line="360" w:lineRule="auto"/>
              <w:ind w:firstLine="420" w:firstLineChars="200"/>
              <w:jc w:val="left"/>
              <w:rPr>
                <w:color w:val="auto"/>
              </w:rPr>
            </w:pPr>
            <w:r>
              <w:rPr>
                <w:color w:val="auto"/>
              </w:rPr>
              <w:t xml:space="preserve">根据吉林省人民政府办公厅关于印发《吉林省空气、水环境、土壤环境质量巩固提升三个行动方案的通知》（吉政办发〔2021〕10 号），严格建筑施工扬尘管控。严格实施建筑施工标准化管理，建立建筑工地项目清单和台账，将扬尘治理费用列入工程造价，加大监管力度，对不达标的施工现场限期整改，情节严重的停工整改。加强建筑渣土及运输车辆规范管理工作，严格落实密闭运输，依法打击不按规定路线行驶、渣土抛撒滴漏以及车轮带泥行驶、随意倾倒等违法行为。 </w:t>
            </w:r>
          </w:p>
          <w:p w14:paraId="292B1337">
            <w:pPr>
              <w:adjustRightInd w:val="0"/>
              <w:snapToGrid w:val="0"/>
              <w:spacing w:line="360" w:lineRule="auto"/>
              <w:ind w:firstLine="420" w:firstLineChars="200"/>
              <w:rPr>
                <w:color w:val="auto"/>
              </w:rPr>
            </w:pPr>
            <w:r>
              <w:rPr>
                <w:color w:val="auto"/>
              </w:rPr>
              <w:t>本项目破碎工序采取湿法除尘水喷淋，</w:t>
            </w:r>
            <w:r>
              <w:rPr>
                <w:rFonts w:hint="eastAsia"/>
                <w:color w:val="auto"/>
              </w:rPr>
              <w:t>鄂破、锤破</w:t>
            </w:r>
            <w:r>
              <w:rPr>
                <w:color w:val="auto"/>
              </w:rPr>
              <w:t>、筛选、洗砂均在水流中进行，无粉尘污染；</w:t>
            </w:r>
            <w:r>
              <w:rPr>
                <w:snapToGrid w:val="0"/>
                <w:color w:val="auto"/>
              </w:rPr>
              <w:t>原料、产品堆场苫布遮盖，定期洒水抑尘，降低扬尘产生浓度；生产不用热，不涉及锅炉；降尘用水全部蒸发，</w:t>
            </w:r>
            <w:r>
              <w:rPr>
                <w:rFonts w:hint="eastAsia"/>
                <w:snapToGrid w:val="0"/>
                <w:color w:val="auto"/>
              </w:rPr>
              <w:t>项目用水</w:t>
            </w:r>
            <w:r>
              <w:rPr>
                <w:snapToGrid w:val="0"/>
                <w:color w:val="auto"/>
              </w:rPr>
              <w:t>循环使用，生活用水排入防渗旱厕，定期用于农肥</w:t>
            </w:r>
            <w:r>
              <w:rPr>
                <w:color w:val="auto"/>
              </w:rPr>
              <w:t>；故本项目符合《吉林省空气、水环境、土壤环境质量巩固提升三个行动方案的通知》相关要求。</w:t>
            </w:r>
          </w:p>
          <w:p w14:paraId="1E703F22">
            <w:pPr>
              <w:numPr>
                <w:ilvl w:val="0"/>
                <w:numId w:val="2"/>
              </w:numPr>
              <w:adjustRightInd w:val="0"/>
              <w:snapToGrid w:val="0"/>
              <w:spacing w:line="360" w:lineRule="auto"/>
              <w:rPr>
                <w:color w:val="auto"/>
              </w:rPr>
            </w:pPr>
            <w:r>
              <w:rPr>
                <w:rFonts w:hint="eastAsia"/>
                <w:color w:val="auto"/>
              </w:rPr>
              <w:t>项目选址及土地规划符合性分析</w:t>
            </w:r>
          </w:p>
          <w:p w14:paraId="16237F53">
            <w:pPr>
              <w:adjustRightInd w:val="0"/>
              <w:snapToGrid w:val="0"/>
              <w:spacing w:line="360" w:lineRule="auto"/>
              <w:ind w:firstLine="420" w:firstLineChars="200"/>
              <w:rPr>
                <w:rFonts w:cs="宋体"/>
                <w:color w:val="auto"/>
              </w:rPr>
            </w:pPr>
            <w:r>
              <w:rPr>
                <w:color w:val="auto"/>
              </w:rPr>
              <w:t>本项目位于白山市江源区石人镇林子头村</w:t>
            </w:r>
            <w:r>
              <w:rPr>
                <w:rFonts w:hint="eastAsia"/>
                <w:color w:val="auto"/>
              </w:rPr>
              <w:t>，租赁</w:t>
            </w:r>
            <w:r>
              <w:rPr>
                <w:rFonts w:hint="eastAsia" w:cs="宋体"/>
                <w:color w:val="auto"/>
              </w:rPr>
              <w:t>白山市江源区江山硅业有限责任公司现有厂区闲置面积及建构筑物，利用单一的石灰石，采用颚式破碎机等设备进行机制砂的生产。</w:t>
            </w:r>
          </w:p>
          <w:p w14:paraId="79B55577">
            <w:pPr>
              <w:adjustRightInd w:val="0"/>
              <w:snapToGrid w:val="0"/>
              <w:spacing w:line="360" w:lineRule="auto"/>
              <w:ind w:firstLine="420" w:firstLineChars="200"/>
              <w:rPr>
                <w:rFonts w:cs="宋体"/>
                <w:color w:val="auto"/>
              </w:rPr>
            </w:pPr>
            <w:r>
              <w:rPr>
                <w:rFonts w:hint="eastAsia" w:cs="宋体"/>
                <w:color w:val="auto"/>
              </w:rPr>
              <w:t>租赁厂区的用地性质为工业用地，企业租赁厂区进行工业生产，项目选址符合土地利用规划的要求。</w:t>
            </w:r>
          </w:p>
          <w:p w14:paraId="1C4F1AB3">
            <w:pPr>
              <w:adjustRightInd w:val="0"/>
              <w:snapToGrid w:val="0"/>
              <w:spacing w:line="360" w:lineRule="auto"/>
              <w:ind w:firstLine="420" w:firstLineChars="200"/>
              <w:rPr>
                <w:rFonts w:cs="宋体"/>
                <w:color w:val="auto"/>
              </w:rPr>
            </w:pPr>
          </w:p>
          <w:p w14:paraId="0663C532">
            <w:pPr>
              <w:adjustRightInd w:val="0"/>
              <w:snapToGrid w:val="0"/>
              <w:spacing w:line="360" w:lineRule="auto"/>
              <w:rPr>
                <w:color w:val="auto"/>
              </w:rPr>
            </w:pPr>
          </w:p>
          <w:p w14:paraId="6C2B7B43">
            <w:pPr>
              <w:pStyle w:val="66"/>
              <w:spacing w:beforeLines="0" w:afterLines="0" w:line="336" w:lineRule="auto"/>
              <w:rPr>
                <w:color w:val="auto"/>
              </w:rPr>
            </w:pPr>
          </w:p>
        </w:tc>
      </w:tr>
    </w:tbl>
    <w:p w14:paraId="284F6EE0">
      <w:pPr>
        <w:spacing w:line="360" w:lineRule="auto"/>
        <w:outlineLvl w:val="0"/>
        <w:rPr>
          <w:rFonts w:eastAsia="黑体"/>
          <w:color w:val="auto"/>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6E275C71">
      <w:pPr>
        <w:pStyle w:val="21"/>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二、建设项目工程分析</w:t>
      </w:r>
    </w:p>
    <w:tbl>
      <w:tblPr>
        <w:tblStyle w:val="24"/>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4"/>
        <w:gridCol w:w="8636"/>
      </w:tblGrid>
      <w:tr w14:paraId="2EB079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7" w:hRule="atLeast"/>
          <w:jc w:val="center"/>
        </w:trPr>
        <w:tc>
          <w:tcPr>
            <w:tcW w:w="675" w:type="dxa"/>
            <w:vAlign w:val="center"/>
          </w:tcPr>
          <w:p w14:paraId="3D5D3D65">
            <w:pPr>
              <w:pStyle w:val="21"/>
              <w:adjustRightInd w:val="0"/>
              <w:snapToGrid w:val="0"/>
              <w:spacing w:before="0" w:beforeAutospacing="0" w:after="0" w:afterAutospacing="0"/>
              <w:jc w:val="center"/>
              <w:rPr>
                <w:rFonts w:cs="宋体"/>
                <w:color w:val="auto"/>
                <w:sz w:val="21"/>
                <w:szCs w:val="21"/>
              </w:rPr>
            </w:pPr>
            <w:r>
              <w:rPr>
                <w:rFonts w:hint="eastAsia" w:cs="宋体"/>
                <w:color w:val="auto"/>
                <w:sz w:val="21"/>
                <w:szCs w:val="21"/>
              </w:rPr>
              <w:t>建设内容</w:t>
            </w:r>
          </w:p>
        </w:tc>
        <w:tc>
          <w:tcPr>
            <w:tcW w:w="8385" w:type="dxa"/>
          </w:tcPr>
          <w:p w14:paraId="40A27182">
            <w:pPr>
              <w:adjustRightInd w:val="0"/>
              <w:snapToGrid w:val="0"/>
              <w:spacing w:beforeLines="50" w:line="336" w:lineRule="auto"/>
              <w:jc w:val="left"/>
              <w:rPr>
                <w:rFonts w:hAnsi="宋体"/>
                <w:bCs/>
                <w:color w:val="auto"/>
              </w:rPr>
            </w:pPr>
            <w:r>
              <w:rPr>
                <w:rFonts w:hint="eastAsia" w:hAnsi="宋体"/>
                <w:bCs/>
                <w:color w:val="auto"/>
              </w:rPr>
              <w:t>1、项目由来</w:t>
            </w:r>
          </w:p>
          <w:p w14:paraId="4F10FB1C">
            <w:pPr>
              <w:snapToGrid w:val="0"/>
              <w:spacing w:line="360" w:lineRule="auto"/>
              <w:ind w:firstLine="420" w:firstLineChars="200"/>
              <w:rPr>
                <w:rFonts w:cs="宋体"/>
                <w:color w:val="auto"/>
              </w:rPr>
            </w:pPr>
            <w:r>
              <w:rPr>
                <w:rFonts w:hint="eastAsia" w:cs="宋体"/>
                <w:color w:val="auto"/>
              </w:rPr>
              <w:t>白山市江源区富辉建材有限公司注册成立于2024年5月，经营范围：建筑用石加工、建筑材料销售。企业拟租赁位于白山市江源区石人镇林子头村，白山市江源区江山硅业有限责任公司闲置厂区，新增生产设备进行机制砂生产，租赁区域占地面积约6000m</w:t>
            </w:r>
            <w:r>
              <w:rPr>
                <w:rFonts w:hint="eastAsia" w:cs="宋体"/>
                <w:color w:val="auto"/>
                <w:vertAlign w:val="superscript"/>
              </w:rPr>
              <w:t>2</w:t>
            </w:r>
            <w:r>
              <w:rPr>
                <w:rFonts w:hint="eastAsia" w:cs="宋体"/>
                <w:color w:val="auto"/>
              </w:rPr>
              <w:t>，一栋750m</w:t>
            </w:r>
            <w:r>
              <w:rPr>
                <w:rFonts w:hint="eastAsia" w:cs="宋体"/>
                <w:color w:val="auto"/>
                <w:vertAlign w:val="superscript"/>
              </w:rPr>
              <w:t>2</w:t>
            </w:r>
            <w:r>
              <w:rPr>
                <w:rFonts w:hint="eastAsia" w:cs="宋体"/>
                <w:color w:val="auto"/>
              </w:rPr>
              <w:t>厂房及已经进行地面硬化的3200m</w:t>
            </w:r>
            <w:r>
              <w:rPr>
                <w:rFonts w:hint="eastAsia" w:cs="宋体"/>
                <w:color w:val="auto"/>
                <w:vertAlign w:val="superscript"/>
              </w:rPr>
              <w:t>2</w:t>
            </w:r>
            <w:r>
              <w:rPr>
                <w:rFonts w:hint="eastAsia" w:cs="宋体"/>
                <w:color w:val="auto"/>
              </w:rPr>
              <w:t>及厂区道路等。</w:t>
            </w:r>
            <w:r>
              <w:rPr>
                <w:rFonts w:cs="宋体"/>
                <w:color w:val="auto"/>
              </w:rPr>
              <w:t>依据《建设项目环境影响评价分类管理名录（2021年版）》中</w:t>
            </w:r>
            <w:r>
              <w:rPr>
                <w:rFonts w:hint="eastAsia" w:cs="宋体"/>
                <w:color w:val="auto"/>
              </w:rPr>
              <w:t>二十七、非金属矿物制品业</w:t>
            </w:r>
            <w:r>
              <w:rPr>
                <w:rFonts w:cs="宋体"/>
                <w:color w:val="auto"/>
              </w:rPr>
              <w:t>56砖瓦</w:t>
            </w:r>
            <w:r>
              <w:rPr>
                <w:rFonts w:hint="eastAsia" w:cs="宋体"/>
                <w:color w:val="auto"/>
              </w:rPr>
              <w:t>、</w:t>
            </w:r>
            <w:r>
              <w:rPr>
                <w:rFonts w:cs="宋体"/>
                <w:color w:val="auto"/>
              </w:rPr>
              <w:t>石材等建筑材料制造</w:t>
            </w:r>
            <w:r>
              <w:rPr>
                <w:rFonts w:hint="eastAsia" w:cs="宋体"/>
                <w:color w:val="auto"/>
              </w:rPr>
              <w:t>303</w:t>
            </w:r>
            <w:r>
              <w:rPr>
                <w:rFonts w:cs="宋体"/>
                <w:color w:val="auto"/>
              </w:rPr>
              <w:t>-</w:t>
            </w:r>
            <w:r>
              <w:rPr>
                <w:rFonts w:hint="eastAsia" w:cs="宋体"/>
                <w:color w:val="auto"/>
              </w:rPr>
              <w:t>其他建筑材料</w:t>
            </w:r>
            <w:r>
              <w:rPr>
                <w:rFonts w:cs="宋体"/>
                <w:color w:val="auto"/>
              </w:rPr>
              <w:t>，环评类别为报告表，因此本项目应编制环境影响报告表。</w:t>
            </w:r>
          </w:p>
          <w:p w14:paraId="5E4DE180">
            <w:pPr>
              <w:adjustRightInd w:val="0"/>
              <w:snapToGrid w:val="0"/>
              <w:spacing w:line="360" w:lineRule="auto"/>
              <w:jc w:val="left"/>
              <w:rPr>
                <w:rFonts w:hAnsi="宋体"/>
                <w:bCs/>
                <w:color w:val="auto"/>
              </w:rPr>
            </w:pPr>
            <w:r>
              <w:rPr>
                <w:rFonts w:hint="eastAsia" w:hAnsi="宋体"/>
                <w:bCs/>
                <w:color w:val="auto"/>
              </w:rPr>
              <w:t>2、项目概况</w:t>
            </w:r>
          </w:p>
          <w:p w14:paraId="3F09F33D">
            <w:pPr>
              <w:pStyle w:val="41"/>
              <w:spacing w:after="0"/>
              <w:ind w:firstLine="444"/>
              <w:rPr>
                <w:rFonts w:ascii="Times New Roman" w:cs="宋体"/>
                <w:color w:val="auto"/>
                <w:spacing w:val="0"/>
                <w:sz w:val="21"/>
              </w:rPr>
            </w:pPr>
            <w:r>
              <w:rPr>
                <w:rFonts w:hint="eastAsia" w:ascii="Times New Roman" w:hAnsi="宋体" w:cs="宋体"/>
                <w:color w:val="auto"/>
                <w:sz w:val="21"/>
              </w:rPr>
              <w:t>项目名称：</w:t>
            </w:r>
            <w:r>
              <w:rPr>
                <w:rFonts w:hint="eastAsia" w:ascii="Times New Roman" w:cs="宋体"/>
                <w:color w:val="auto"/>
                <w:spacing w:val="0"/>
                <w:sz w:val="21"/>
              </w:rPr>
              <w:t>白山市江源区富辉建材有限公司机制砂建设项目</w:t>
            </w:r>
          </w:p>
          <w:p w14:paraId="5D96E691">
            <w:pPr>
              <w:pStyle w:val="41"/>
              <w:spacing w:after="0"/>
              <w:ind w:firstLine="420"/>
              <w:rPr>
                <w:rFonts w:ascii="Times New Roman"/>
                <w:color w:val="auto"/>
                <w:spacing w:val="0"/>
                <w:sz w:val="21"/>
              </w:rPr>
            </w:pPr>
            <w:r>
              <w:rPr>
                <w:rFonts w:hint="eastAsia" w:ascii="Times New Roman" w:cs="宋体"/>
                <w:color w:val="auto"/>
                <w:spacing w:val="0"/>
                <w:sz w:val="21"/>
              </w:rPr>
              <w:t>建设性质：新建</w:t>
            </w:r>
          </w:p>
          <w:p w14:paraId="51C4B195">
            <w:pPr>
              <w:adjustRightInd w:val="0"/>
              <w:snapToGrid w:val="0"/>
              <w:spacing w:line="360" w:lineRule="auto"/>
              <w:ind w:firstLine="420" w:firstLineChars="200"/>
              <w:jc w:val="left"/>
              <w:rPr>
                <w:rFonts w:hAnsi="宋体" w:cs="宋体"/>
                <w:color w:val="auto"/>
              </w:rPr>
            </w:pPr>
            <w:r>
              <w:rPr>
                <w:rFonts w:hint="eastAsia" w:cs="宋体"/>
                <w:color w:val="auto"/>
              </w:rPr>
              <w:t>建设地点及周围环境情况：</w:t>
            </w:r>
            <w:r>
              <w:rPr>
                <w:rFonts w:hint="eastAsia" w:cs="宋体" w:hAnsiTheme="minorHAnsi" w:eastAsiaTheme="minorEastAsia"/>
                <w:color w:val="auto"/>
              </w:rPr>
              <w:t>本项目位于</w:t>
            </w:r>
            <w:r>
              <w:rPr>
                <w:rFonts w:hint="eastAsia" w:cs="宋体"/>
                <w:color w:val="auto"/>
              </w:rPr>
              <w:t>白山市江源区石人镇林子头村</w:t>
            </w:r>
            <w:r>
              <w:rPr>
                <w:rFonts w:hint="eastAsia"/>
                <w:color w:val="auto"/>
              </w:rPr>
              <w:t>，</w:t>
            </w:r>
            <w:r>
              <w:rPr>
                <w:rFonts w:hint="eastAsia" w:cs="宋体"/>
                <w:color w:val="auto"/>
              </w:rPr>
              <w:t>白山市江源区江山硅业有限责任公司现有厂区内</w:t>
            </w:r>
            <w:r>
              <w:rPr>
                <w:rFonts w:hint="eastAsia" w:cs="宋体" w:hAnsiTheme="minorHAnsi" w:eastAsiaTheme="minorEastAsia"/>
                <w:color w:val="auto"/>
              </w:rPr>
              <w:t>西南侧，用地性质为工业用地，厂界东侧为无名道路，隔路为山林地；南侧、北侧为耕地；西侧为山林地。项目厂界100m范围内无村屯，距离厂界最近的敏感目标为</w:t>
            </w:r>
            <w:r>
              <w:rPr>
                <w:rFonts w:hint="eastAsia"/>
                <w:color w:val="auto"/>
              </w:rPr>
              <w:t>西北</w:t>
            </w:r>
            <w:r>
              <w:rPr>
                <w:color w:val="auto"/>
              </w:rPr>
              <w:t>侧约</w:t>
            </w:r>
            <w:r>
              <w:rPr>
                <w:rFonts w:hint="eastAsia"/>
                <w:color w:val="auto"/>
              </w:rPr>
              <w:t>211</w:t>
            </w:r>
            <w:r>
              <w:rPr>
                <w:color w:val="auto"/>
              </w:rPr>
              <w:t>m处的</w:t>
            </w:r>
            <w:r>
              <w:rPr>
                <w:rFonts w:hint="eastAsia"/>
                <w:color w:val="auto"/>
              </w:rPr>
              <w:t>铁桥屯</w:t>
            </w:r>
            <w:r>
              <w:rPr>
                <w:rFonts w:hint="eastAsia" w:cs="宋体" w:hAnsiTheme="minorHAnsi" w:eastAsiaTheme="minorEastAsia"/>
                <w:color w:val="auto"/>
              </w:rPr>
              <w:t>，</w:t>
            </w:r>
            <w:r>
              <w:rPr>
                <w:rFonts w:hint="eastAsia" w:hAnsi="宋体" w:cs="宋体"/>
                <w:color w:val="auto"/>
              </w:rPr>
              <w:t>厂区</w:t>
            </w:r>
            <w:r>
              <w:rPr>
                <w:rFonts w:hint="eastAsia" w:cs="宋体"/>
                <w:color w:val="auto"/>
              </w:rPr>
              <w:t>地理位置详见附图</w:t>
            </w:r>
            <w:r>
              <w:rPr>
                <w:color w:val="auto"/>
              </w:rPr>
              <w:t>1</w:t>
            </w:r>
            <w:r>
              <w:rPr>
                <w:rFonts w:hint="eastAsia"/>
                <w:color w:val="auto"/>
              </w:rPr>
              <w:t>，厂区周围情况图详见附图2</w:t>
            </w:r>
            <w:r>
              <w:rPr>
                <w:rFonts w:hint="eastAsia" w:cs="宋体"/>
                <w:color w:val="auto"/>
              </w:rPr>
              <w:t>。</w:t>
            </w:r>
          </w:p>
          <w:p w14:paraId="789AE9C4">
            <w:pPr>
              <w:adjustRightInd w:val="0"/>
              <w:snapToGrid w:val="0"/>
              <w:spacing w:line="360" w:lineRule="auto"/>
              <w:ind w:firstLine="420" w:firstLineChars="200"/>
              <w:jc w:val="left"/>
              <w:rPr>
                <w:color w:val="auto"/>
              </w:rPr>
            </w:pPr>
            <w:r>
              <w:rPr>
                <w:rFonts w:hint="eastAsia" w:hAnsi="宋体" w:cs="宋体"/>
                <w:color w:val="auto"/>
              </w:rPr>
              <w:t>项目总投资：本项目总投资为</w:t>
            </w:r>
            <w:r>
              <w:rPr>
                <w:rFonts w:hint="eastAsia"/>
                <w:color w:val="auto"/>
              </w:rPr>
              <w:t>200</w:t>
            </w:r>
            <w:r>
              <w:rPr>
                <w:rFonts w:hint="eastAsia" w:hAnsi="宋体" w:cs="宋体"/>
                <w:color w:val="auto"/>
              </w:rPr>
              <w:t>万元，环保投资为33万元，占总投资的16.5</w:t>
            </w:r>
            <w:r>
              <w:rPr>
                <w:rFonts w:hAnsi="宋体" w:cs="宋体"/>
                <w:color w:val="auto"/>
              </w:rPr>
              <w:t>%</w:t>
            </w:r>
            <w:r>
              <w:rPr>
                <w:rFonts w:hint="eastAsia" w:hAnsi="宋体" w:cs="宋体"/>
                <w:color w:val="auto"/>
              </w:rPr>
              <w:t>，项目资金全部由</w:t>
            </w:r>
            <w:r>
              <w:rPr>
                <w:rFonts w:hint="eastAsia" w:cs="宋体"/>
                <w:color w:val="auto"/>
              </w:rPr>
              <w:t>企业自筹解决。</w:t>
            </w:r>
          </w:p>
          <w:p w14:paraId="30023BFC">
            <w:pPr>
              <w:adjustRightInd w:val="0"/>
              <w:snapToGrid w:val="0"/>
              <w:spacing w:line="336" w:lineRule="auto"/>
              <w:jc w:val="left"/>
              <w:rPr>
                <w:rFonts w:hAnsi="宋体"/>
                <w:bCs/>
                <w:color w:val="auto"/>
              </w:rPr>
            </w:pPr>
            <w:r>
              <w:rPr>
                <w:rFonts w:hint="eastAsia" w:hAnsi="宋体"/>
                <w:bCs/>
                <w:color w:val="auto"/>
              </w:rPr>
              <w:t>3、工程分析</w:t>
            </w:r>
          </w:p>
          <w:p w14:paraId="468D0DA7">
            <w:pPr>
              <w:adjustRightInd w:val="0"/>
              <w:snapToGrid w:val="0"/>
              <w:spacing w:line="360" w:lineRule="auto"/>
              <w:rPr>
                <w:rFonts w:hAnsi="宋体" w:cs="宋体"/>
                <w:color w:val="auto"/>
              </w:rPr>
            </w:pPr>
            <w:r>
              <w:rPr>
                <w:rFonts w:hint="eastAsia" w:hAnsi="宋体" w:cs="宋体"/>
                <w:color w:val="auto"/>
              </w:rPr>
              <w:t>3.1项目建设内容</w:t>
            </w:r>
          </w:p>
          <w:p w14:paraId="74D3A692">
            <w:pPr>
              <w:adjustRightInd w:val="0"/>
              <w:snapToGrid w:val="0"/>
              <w:spacing w:line="360" w:lineRule="auto"/>
              <w:ind w:firstLine="420"/>
              <w:rPr>
                <w:color w:val="auto"/>
              </w:rPr>
            </w:pPr>
            <w:r>
              <w:rPr>
                <w:rFonts w:hint="eastAsia"/>
                <w:color w:val="auto"/>
              </w:rPr>
              <w:t>项目租赁区域占地面积6</w:t>
            </w:r>
            <w:r>
              <w:rPr>
                <w:color w:val="auto"/>
              </w:rPr>
              <w:t>00</w:t>
            </w:r>
            <w:r>
              <w:rPr>
                <w:rFonts w:hint="eastAsia"/>
                <w:color w:val="auto"/>
              </w:rPr>
              <w:t>0 m</w:t>
            </w:r>
            <w:r>
              <w:rPr>
                <w:rFonts w:hint="eastAsia"/>
                <w:color w:val="auto"/>
                <w:vertAlign w:val="superscript"/>
              </w:rPr>
              <w:t>2</w:t>
            </w:r>
            <w:r>
              <w:rPr>
                <w:rFonts w:hint="eastAsia"/>
                <w:color w:val="auto"/>
              </w:rPr>
              <w:t>，生产厂房建筑面积750m</w:t>
            </w:r>
            <w:r>
              <w:rPr>
                <w:rFonts w:hint="eastAsia"/>
                <w:color w:val="auto"/>
                <w:vertAlign w:val="superscript"/>
              </w:rPr>
              <w:t>2</w:t>
            </w:r>
            <w:r>
              <w:rPr>
                <w:rFonts w:hint="eastAsia"/>
                <w:color w:val="auto"/>
              </w:rPr>
              <w:t>，规划为机制砂生产车间，内设鄂破机、锤破机、滚笼筛、上料机等生产设备，进行机制砂生产，利用厂区内已经进行水泥混凝土硬化的4800m</w:t>
            </w:r>
            <w:r>
              <w:rPr>
                <w:rFonts w:hint="eastAsia"/>
                <w:color w:val="auto"/>
                <w:vertAlign w:val="superscript"/>
              </w:rPr>
              <w:t>2</w:t>
            </w:r>
            <w:r>
              <w:rPr>
                <w:rFonts w:hint="eastAsia"/>
                <w:color w:val="auto"/>
              </w:rPr>
              <w:t>规划建设为原料堆场及成品堆场，新建1座净水池。</w:t>
            </w:r>
          </w:p>
          <w:p w14:paraId="680421A1">
            <w:pPr>
              <w:adjustRightInd w:val="0"/>
              <w:snapToGrid w:val="0"/>
              <w:spacing w:line="360" w:lineRule="auto"/>
              <w:ind w:firstLine="420" w:firstLineChars="200"/>
              <w:rPr>
                <w:color w:val="auto"/>
              </w:rPr>
            </w:pPr>
            <w:r>
              <w:rPr>
                <w:rFonts w:hint="eastAsia"/>
                <w:color w:val="auto"/>
              </w:rPr>
              <w:t>项目涉及建构筑物及项目组成情况详见下表。</w:t>
            </w:r>
          </w:p>
          <w:p w14:paraId="71E3DBAC">
            <w:pPr>
              <w:pStyle w:val="56"/>
              <w:adjustRightInd w:val="0"/>
              <w:snapToGrid w:val="0"/>
              <w:spacing w:line="240" w:lineRule="auto"/>
              <w:ind w:firstLine="482"/>
              <w:rPr>
                <w:rFonts w:hAnsi="宋体" w:eastAsia="宋体"/>
                <w:b w:val="0"/>
                <w:color w:val="auto"/>
                <w:szCs w:val="21"/>
              </w:rPr>
            </w:pPr>
            <w:r>
              <w:rPr>
                <w:rFonts w:hint="eastAsia" w:hAnsi="宋体" w:eastAsia="宋体"/>
                <w:b w:val="0"/>
                <w:color w:val="auto"/>
                <w:szCs w:val="21"/>
              </w:rPr>
              <w:t>项目租赁</w:t>
            </w:r>
            <w:r>
              <w:rPr>
                <w:rFonts w:hAnsi="宋体" w:eastAsia="宋体"/>
                <w:b w:val="0"/>
                <w:color w:val="auto"/>
                <w:szCs w:val="21"/>
              </w:rPr>
              <w:t>建（构）筑物一览表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09"/>
              <w:gridCol w:w="1166"/>
              <w:gridCol w:w="1582"/>
              <w:gridCol w:w="1537"/>
              <w:gridCol w:w="1774"/>
              <w:gridCol w:w="933"/>
              <w:gridCol w:w="716"/>
            </w:tblGrid>
            <w:tr w14:paraId="12D99D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1" w:type="pct"/>
                  <w:vAlign w:val="center"/>
                </w:tcPr>
                <w:p w14:paraId="0D910BC0">
                  <w:pPr>
                    <w:jc w:val="center"/>
                    <w:rPr>
                      <w:color w:val="auto"/>
                      <w:sz w:val="18"/>
                      <w:szCs w:val="18"/>
                    </w:rPr>
                  </w:pPr>
                  <w:r>
                    <w:rPr>
                      <w:rFonts w:hint="eastAsia"/>
                      <w:color w:val="auto"/>
                      <w:sz w:val="18"/>
                      <w:szCs w:val="18"/>
                    </w:rPr>
                    <w:t>序号</w:t>
                  </w:r>
                </w:p>
              </w:tc>
              <w:tc>
                <w:tcPr>
                  <w:tcW w:w="692" w:type="pct"/>
                  <w:vAlign w:val="center"/>
                </w:tcPr>
                <w:p w14:paraId="08A3181E">
                  <w:pPr>
                    <w:jc w:val="center"/>
                    <w:rPr>
                      <w:color w:val="auto"/>
                      <w:sz w:val="18"/>
                      <w:szCs w:val="18"/>
                    </w:rPr>
                  </w:pPr>
                  <w:r>
                    <w:rPr>
                      <w:rFonts w:hint="eastAsia"/>
                      <w:color w:val="auto"/>
                      <w:sz w:val="18"/>
                      <w:szCs w:val="18"/>
                    </w:rPr>
                    <w:t>建筑物名称</w:t>
                  </w:r>
                </w:p>
              </w:tc>
              <w:tc>
                <w:tcPr>
                  <w:tcW w:w="939" w:type="pct"/>
                  <w:vAlign w:val="center"/>
                </w:tcPr>
                <w:p w14:paraId="4D2894FC">
                  <w:pPr>
                    <w:jc w:val="center"/>
                    <w:rPr>
                      <w:color w:val="auto"/>
                      <w:sz w:val="18"/>
                      <w:szCs w:val="18"/>
                    </w:rPr>
                  </w:pPr>
                  <w:r>
                    <w:rPr>
                      <w:rFonts w:hint="eastAsia"/>
                      <w:color w:val="auto"/>
                      <w:sz w:val="18"/>
                      <w:szCs w:val="18"/>
                    </w:rPr>
                    <w:t>占地面积（m</w:t>
                  </w:r>
                  <w:r>
                    <w:rPr>
                      <w:rFonts w:hint="eastAsia"/>
                      <w:color w:val="auto"/>
                      <w:sz w:val="18"/>
                      <w:szCs w:val="18"/>
                      <w:vertAlign w:val="superscript"/>
                    </w:rPr>
                    <w:t>2</w:t>
                  </w:r>
                  <w:r>
                    <w:rPr>
                      <w:rFonts w:hint="eastAsia"/>
                      <w:color w:val="auto"/>
                      <w:sz w:val="18"/>
                      <w:szCs w:val="18"/>
                    </w:rPr>
                    <w:t>）</w:t>
                  </w:r>
                </w:p>
              </w:tc>
              <w:tc>
                <w:tcPr>
                  <w:tcW w:w="912" w:type="pct"/>
                  <w:vAlign w:val="center"/>
                </w:tcPr>
                <w:p w14:paraId="5D40C4ED">
                  <w:pPr>
                    <w:jc w:val="center"/>
                    <w:rPr>
                      <w:color w:val="auto"/>
                      <w:sz w:val="18"/>
                      <w:szCs w:val="18"/>
                    </w:rPr>
                  </w:pPr>
                  <w:r>
                    <w:rPr>
                      <w:rFonts w:hint="eastAsia"/>
                      <w:color w:val="auto"/>
                      <w:sz w:val="18"/>
                      <w:szCs w:val="18"/>
                    </w:rPr>
                    <w:t>建筑面积（m</w:t>
                  </w:r>
                  <w:r>
                    <w:rPr>
                      <w:rFonts w:hint="eastAsia"/>
                      <w:color w:val="auto"/>
                      <w:sz w:val="18"/>
                      <w:szCs w:val="18"/>
                      <w:vertAlign w:val="superscript"/>
                    </w:rPr>
                    <w:t>2</w:t>
                  </w:r>
                  <w:r>
                    <w:rPr>
                      <w:rFonts w:hint="eastAsia"/>
                      <w:color w:val="auto"/>
                      <w:sz w:val="18"/>
                      <w:szCs w:val="18"/>
                    </w:rPr>
                    <w:t>）</w:t>
                  </w:r>
                </w:p>
              </w:tc>
              <w:tc>
                <w:tcPr>
                  <w:tcW w:w="1053" w:type="pct"/>
                  <w:vAlign w:val="center"/>
                </w:tcPr>
                <w:p w14:paraId="1F84B7BA">
                  <w:pPr>
                    <w:jc w:val="center"/>
                    <w:rPr>
                      <w:color w:val="auto"/>
                      <w:sz w:val="18"/>
                      <w:szCs w:val="18"/>
                    </w:rPr>
                  </w:pPr>
                  <w:r>
                    <w:rPr>
                      <w:rFonts w:hint="eastAsia"/>
                      <w:color w:val="auto"/>
                      <w:sz w:val="18"/>
                      <w:szCs w:val="18"/>
                    </w:rPr>
                    <w:t>结构形式</w:t>
                  </w:r>
                </w:p>
              </w:tc>
              <w:tc>
                <w:tcPr>
                  <w:tcW w:w="554" w:type="pct"/>
                  <w:tcBorders>
                    <w:right w:val="single" w:color="auto" w:sz="4" w:space="0"/>
                  </w:tcBorders>
                  <w:vAlign w:val="center"/>
                </w:tcPr>
                <w:p w14:paraId="60BA77A8">
                  <w:pPr>
                    <w:jc w:val="center"/>
                    <w:rPr>
                      <w:color w:val="auto"/>
                      <w:sz w:val="18"/>
                      <w:szCs w:val="18"/>
                    </w:rPr>
                  </w:pPr>
                  <w:r>
                    <w:rPr>
                      <w:rFonts w:hint="eastAsia"/>
                      <w:color w:val="auto"/>
                      <w:sz w:val="18"/>
                      <w:szCs w:val="18"/>
                    </w:rPr>
                    <w:t>层数</w:t>
                  </w:r>
                </w:p>
              </w:tc>
              <w:tc>
                <w:tcPr>
                  <w:tcW w:w="425" w:type="pct"/>
                  <w:tcBorders>
                    <w:left w:val="single" w:color="auto" w:sz="4" w:space="0"/>
                  </w:tcBorders>
                  <w:vAlign w:val="center"/>
                </w:tcPr>
                <w:p w14:paraId="403DDC57">
                  <w:pPr>
                    <w:jc w:val="center"/>
                    <w:rPr>
                      <w:color w:val="auto"/>
                      <w:sz w:val="18"/>
                      <w:szCs w:val="18"/>
                    </w:rPr>
                  </w:pPr>
                  <w:r>
                    <w:rPr>
                      <w:rFonts w:hint="eastAsia"/>
                      <w:color w:val="auto"/>
                      <w:sz w:val="18"/>
                      <w:szCs w:val="18"/>
                    </w:rPr>
                    <w:t>备注</w:t>
                  </w:r>
                </w:p>
              </w:tc>
            </w:tr>
            <w:tr w14:paraId="1AB825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1" w:type="pct"/>
                  <w:vAlign w:val="center"/>
                </w:tcPr>
                <w:p w14:paraId="20B2E071">
                  <w:pPr>
                    <w:jc w:val="center"/>
                    <w:rPr>
                      <w:color w:val="auto"/>
                      <w:sz w:val="18"/>
                      <w:szCs w:val="18"/>
                    </w:rPr>
                  </w:pPr>
                  <w:r>
                    <w:rPr>
                      <w:rFonts w:hint="eastAsia"/>
                      <w:color w:val="auto"/>
                      <w:sz w:val="18"/>
                      <w:szCs w:val="18"/>
                    </w:rPr>
                    <w:t>1</w:t>
                  </w:r>
                </w:p>
              </w:tc>
              <w:tc>
                <w:tcPr>
                  <w:tcW w:w="692" w:type="pct"/>
                  <w:vAlign w:val="center"/>
                </w:tcPr>
                <w:p w14:paraId="0DA2E99C">
                  <w:pPr>
                    <w:jc w:val="center"/>
                    <w:rPr>
                      <w:color w:val="auto"/>
                      <w:sz w:val="18"/>
                      <w:szCs w:val="18"/>
                    </w:rPr>
                  </w:pPr>
                  <w:r>
                    <w:rPr>
                      <w:rFonts w:hint="eastAsia"/>
                      <w:color w:val="auto"/>
                      <w:sz w:val="18"/>
                      <w:szCs w:val="18"/>
                    </w:rPr>
                    <w:t>生产厂房</w:t>
                  </w:r>
                </w:p>
              </w:tc>
              <w:tc>
                <w:tcPr>
                  <w:tcW w:w="939" w:type="pct"/>
                  <w:vAlign w:val="center"/>
                </w:tcPr>
                <w:p w14:paraId="03F6FBEF">
                  <w:pPr>
                    <w:jc w:val="center"/>
                    <w:rPr>
                      <w:color w:val="auto"/>
                      <w:sz w:val="18"/>
                      <w:szCs w:val="18"/>
                    </w:rPr>
                  </w:pPr>
                  <w:r>
                    <w:rPr>
                      <w:rFonts w:hint="eastAsia"/>
                      <w:color w:val="auto"/>
                      <w:sz w:val="18"/>
                      <w:szCs w:val="18"/>
                    </w:rPr>
                    <w:t>750</w:t>
                  </w:r>
                </w:p>
              </w:tc>
              <w:tc>
                <w:tcPr>
                  <w:tcW w:w="912" w:type="pct"/>
                  <w:vAlign w:val="center"/>
                </w:tcPr>
                <w:p w14:paraId="353429AB">
                  <w:pPr>
                    <w:jc w:val="center"/>
                    <w:rPr>
                      <w:color w:val="auto"/>
                      <w:sz w:val="18"/>
                      <w:szCs w:val="18"/>
                    </w:rPr>
                  </w:pPr>
                  <w:r>
                    <w:rPr>
                      <w:rFonts w:hint="eastAsia"/>
                      <w:color w:val="auto"/>
                      <w:sz w:val="18"/>
                      <w:szCs w:val="18"/>
                    </w:rPr>
                    <w:t>750</w:t>
                  </w:r>
                </w:p>
              </w:tc>
              <w:tc>
                <w:tcPr>
                  <w:tcW w:w="1053" w:type="pct"/>
                  <w:vAlign w:val="center"/>
                </w:tcPr>
                <w:p w14:paraId="3A103867">
                  <w:pPr>
                    <w:jc w:val="center"/>
                    <w:rPr>
                      <w:color w:val="auto"/>
                      <w:sz w:val="18"/>
                      <w:szCs w:val="18"/>
                    </w:rPr>
                  </w:pPr>
                  <w:r>
                    <w:rPr>
                      <w:rFonts w:hint="eastAsia"/>
                      <w:color w:val="auto"/>
                      <w:sz w:val="18"/>
                      <w:szCs w:val="18"/>
                    </w:rPr>
                    <w:t>轻钢</w:t>
                  </w:r>
                </w:p>
              </w:tc>
              <w:tc>
                <w:tcPr>
                  <w:tcW w:w="554" w:type="pct"/>
                  <w:tcBorders>
                    <w:right w:val="single" w:color="auto" w:sz="4" w:space="0"/>
                  </w:tcBorders>
                  <w:vAlign w:val="center"/>
                </w:tcPr>
                <w:p w14:paraId="4251F445">
                  <w:pPr>
                    <w:jc w:val="center"/>
                    <w:rPr>
                      <w:color w:val="auto"/>
                      <w:sz w:val="18"/>
                      <w:szCs w:val="18"/>
                    </w:rPr>
                  </w:pPr>
                  <w:r>
                    <w:rPr>
                      <w:rFonts w:hint="eastAsia"/>
                      <w:color w:val="auto"/>
                      <w:sz w:val="18"/>
                      <w:szCs w:val="18"/>
                    </w:rPr>
                    <w:t>1层</w:t>
                  </w:r>
                </w:p>
              </w:tc>
              <w:tc>
                <w:tcPr>
                  <w:tcW w:w="425" w:type="pct"/>
                  <w:tcBorders>
                    <w:left w:val="single" w:color="auto" w:sz="4" w:space="0"/>
                  </w:tcBorders>
                  <w:vAlign w:val="center"/>
                </w:tcPr>
                <w:p w14:paraId="4BD1FAC4">
                  <w:pPr>
                    <w:jc w:val="center"/>
                    <w:rPr>
                      <w:color w:val="auto"/>
                      <w:sz w:val="18"/>
                      <w:szCs w:val="18"/>
                    </w:rPr>
                  </w:pPr>
                  <w:r>
                    <w:rPr>
                      <w:rFonts w:hint="eastAsia"/>
                      <w:color w:val="auto"/>
                      <w:sz w:val="18"/>
                      <w:szCs w:val="18"/>
                    </w:rPr>
                    <w:t>原有</w:t>
                  </w:r>
                </w:p>
              </w:tc>
            </w:tr>
            <w:tr w14:paraId="4AE7C8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1" w:type="pct"/>
                  <w:vAlign w:val="center"/>
                </w:tcPr>
                <w:p w14:paraId="24534263">
                  <w:pPr>
                    <w:jc w:val="center"/>
                    <w:rPr>
                      <w:color w:val="auto"/>
                      <w:sz w:val="18"/>
                      <w:szCs w:val="18"/>
                    </w:rPr>
                  </w:pPr>
                  <w:r>
                    <w:rPr>
                      <w:rFonts w:hint="eastAsia"/>
                      <w:color w:val="auto"/>
                      <w:sz w:val="18"/>
                      <w:szCs w:val="18"/>
                    </w:rPr>
                    <w:t>2</w:t>
                  </w:r>
                </w:p>
              </w:tc>
              <w:tc>
                <w:tcPr>
                  <w:tcW w:w="692" w:type="pct"/>
                  <w:vAlign w:val="center"/>
                </w:tcPr>
                <w:p w14:paraId="4D40A585">
                  <w:pPr>
                    <w:jc w:val="center"/>
                    <w:rPr>
                      <w:color w:val="auto"/>
                      <w:sz w:val="18"/>
                      <w:szCs w:val="18"/>
                    </w:rPr>
                  </w:pPr>
                  <w:r>
                    <w:rPr>
                      <w:rFonts w:hint="eastAsia"/>
                      <w:color w:val="auto"/>
                      <w:sz w:val="18"/>
                      <w:szCs w:val="18"/>
                    </w:rPr>
                    <w:t>办公用房</w:t>
                  </w:r>
                </w:p>
              </w:tc>
              <w:tc>
                <w:tcPr>
                  <w:tcW w:w="939" w:type="pct"/>
                  <w:vAlign w:val="center"/>
                </w:tcPr>
                <w:p w14:paraId="6AA13E13">
                  <w:pPr>
                    <w:jc w:val="center"/>
                    <w:rPr>
                      <w:color w:val="auto"/>
                      <w:sz w:val="18"/>
                      <w:szCs w:val="18"/>
                    </w:rPr>
                  </w:pPr>
                  <w:r>
                    <w:rPr>
                      <w:rFonts w:hint="eastAsia"/>
                      <w:color w:val="auto"/>
                      <w:sz w:val="18"/>
                      <w:szCs w:val="18"/>
                    </w:rPr>
                    <w:t>120</w:t>
                  </w:r>
                </w:p>
              </w:tc>
              <w:tc>
                <w:tcPr>
                  <w:tcW w:w="912" w:type="pct"/>
                  <w:vAlign w:val="center"/>
                </w:tcPr>
                <w:p w14:paraId="40290424">
                  <w:pPr>
                    <w:jc w:val="center"/>
                    <w:rPr>
                      <w:color w:val="auto"/>
                      <w:sz w:val="18"/>
                      <w:szCs w:val="18"/>
                    </w:rPr>
                  </w:pPr>
                  <w:r>
                    <w:rPr>
                      <w:rFonts w:hint="eastAsia"/>
                      <w:color w:val="auto"/>
                      <w:sz w:val="18"/>
                      <w:szCs w:val="18"/>
                    </w:rPr>
                    <w:t>120</w:t>
                  </w:r>
                </w:p>
              </w:tc>
              <w:tc>
                <w:tcPr>
                  <w:tcW w:w="1053" w:type="pct"/>
                  <w:vAlign w:val="center"/>
                </w:tcPr>
                <w:p w14:paraId="1AFAFB9F">
                  <w:pPr>
                    <w:jc w:val="center"/>
                    <w:rPr>
                      <w:color w:val="auto"/>
                      <w:sz w:val="18"/>
                      <w:szCs w:val="18"/>
                    </w:rPr>
                  </w:pPr>
                  <w:r>
                    <w:rPr>
                      <w:rFonts w:hint="eastAsia"/>
                      <w:color w:val="auto"/>
                      <w:sz w:val="18"/>
                      <w:szCs w:val="18"/>
                    </w:rPr>
                    <w:t>框架</w:t>
                  </w:r>
                </w:p>
              </w:tc>
              <w:tc>
                <w:tcPr>
                  <w:tcW w:w="554" w:type="pct"/>
                  <w:tcBorders>
                    <w:right w:val="single" w:color="auto" w:sz="4" w:space="0"/>
                  </w:tcBorders>
                  <w:vAlign w:val="center"/>
                </w:tcPr>
                <w:p w14:paraId="7067A58B">
                  <w:pPr>
                    <w:jc w:val="center"/>
                    <w:rPr>
                      <w:color w:val="auto"/>
                      <w:sz w:val="18"/>
                      <w:szCs w:val="18"/>
                    </w:rPr>
                  </w:pPr>
                  <w:r>
                    <w:rPr>
                      <w:rFonts w:hint="eastAsia"/>
                      <w:color w:val="auto"/>
                      <w:sz w:val="18"/>
                      <w:szCs w:val="18"/>
                    </w:rPr>
                    <w:t>2层</w:t>
                  </w:r>
                </w:p>
              </w:tc>
              <w:tc>
                <w:tcPr>
                  <w:tcW w:w="425" w:type="pct"/>
                  <w:tcBorders>
                    <w:left w:val="single" w:color="auto" w:sz="4" w:space="0"/>
                  </w:tcBorders>
                  <w:vAlign w:val="center"/>
                </w:tcPr>
                <w:p w14:paraId="0B3D1790">
                  <w:pPr>
                    <w:jc w:val="center"/>
                    <w:rPr>
                      <w:color w:val="auto"/>
                      <w:sz w:val="18"/>
                      <w:szCs w:val="18"/>
                    </w:rPr>
                  </w:pPr>
                  <w:r>
                    <w:rPr>
                      <w:rFonts w:hint="eastAsia"/>
                      <w:color w:val="auto"/>
                      <w:sz w:val="18"/>
                      <w:szCs w:val="18"/>
                    </w:rPr>
                    <w:t>原有</w:t>
                  </w:r>
                </w:p>
              </w:tc>
            </w:tr>
            <w:tr w14:paraId="2D80BB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1" w:type="pct"/>
                  <w:vAlign w:val="center"/>
                </w:tcPr>
                <w:p w14:paraId="20867F15">
                  <w:pPr>
                    <w:jc w:val="center"/>
                    <w:rPr>
                      <w:color w:val="auto"/>
                      <w:sz w:val="18"/>
                      <w:szCs w:val="18"/>
                    </w:rPr>
                  </w:pPr>
                  <w:r>
                    <w:rPr>
                      <w:rFonts w:hint="eastAsia"/>
                      <w:color w:val="auto"/>
                      <w:sz w:val="18"/>
                      <w:szCs w:val="18"/>
                    </w:rPr>
                    <w:t>3</w:t>
                  </w:r>
                </w:p>
              </w:tc>
              <w:tc>
                <w:tcPr>
                  <w:tcW w:w="692" w:type="pct"/>
                  <w:vAlign w:val="center"/>
                </w:tcPr>
                <w:p w14:paraId="6F9CE23F">
                  <w:pPr>
                    <w:jc w:val="center"/>
                    <w:rPr>
                      <w:color w:val="auto"/>
                      <w:sz w:val="18"/>
                      <w:szCs w:val="18"/>
                    </w:rPr>
                  </w:pPr>
                  <w:r>
                    <w:rPr>
                      <w:rFonts w:hint="eastAsia"/>
                      <w:color w:val="auto"/>
                      <w:sz w:val="18"/>
                      <w:szCs w:val="18"/>
                    </w:rPr>
                    <w:t>原料堆场</w:t>
                  </w:r>
                </w:p>
              </w:tc>
              <w:tc>
                <w:tcPr>
                  <w:tcW w:w="939" w:type="pct"/>
                  <w:vAlign w:val="center"/>
                </w:tcPr>
                <w:p w14:paraId="34CD5E60">
                  <w:pPr>
                    <w:jc w:val="center"/>
                    <w:rPr>
                      <w:color w:val="auto"/>
                      <w:sz w:val="18"/>
                      <w:szCs w:val="18"/>
                    </w:rPr>
                  </w:pPr>
                  <w:r>
                    <w:rPr>
                      <w:rFonts w:hint="eastAsia"/>
                      <w:color w:val="auto"/>
                      <w:sz w:val="18"/>
                      <w:szCs w:val="18"/>
                    </w:rPr>
                    <w:t>2000</w:t>
                  </w:r>
                </w:p>
              </w:tc>
              <w:tc>
                <w:tcPr>
                  <w:tcW w:w="912" w:type="pct"/>
                  <w:vAlign w:val="center"/>
                </w:tcPr>
                <w:p w14:paraId="22713A62">
                  <w:pPr>
                    <w:jc w:val="center"/>
                    <w:rPr>
                      <w:color w:val="auto"/>
                      <w:sz w:val="18"/>
                      <w:szCs w:val="18"/>
                    </w:rPr>
                  </w:pPr>
                  <w:r>
                    <w:rPr>
                      <w:rFonts w:hint="eastAsia"/>
                      <w:color w:val="auto"/>
                      <w:sz w:val="18"/>
                      <w:szCs w:val="18"/>
                    </w:rPr>
                    <w:t>/</w:t>
                  </w:r>
                </w:p>
              </w:tc>
              <w:tc>
                <w:tcPr>
                  <w:tcW w:w="1053" w:type="pct"/>
                  <w:vAlign w:val="center"/>
                </w:tcPr>
                <w:p w14:paraId="151E9064">
                  <w:pPr>
                    <w:jc w:val="center"/>
                    <w:rPr>
                      <w:color w:val="auto"/>
                      <w:sz w:val="18"/>
                      <w:szCs w:val="18"/>
                    </w:rPr>
                  </w:pPr>
                  <w:r>
                    <w:rPr>
                      <w:rFonts w:hint="eastAsia"/>
                      <w:color w:val="auto"/>
                      <w:sz w:val="18"/>
                      <w:szCs w:val="18"/>
                    </w:rPr>
                    <w:t>水泥混凝土硬化</w:t>
                  </w:r>
                </w:p>
              </w:tc>
              <w:tc>
                <w:tcPr>
                  <w:tcW w:w="554" w:type="pct"/>
                  <w:tcBorders>
                    <w:right w:val="single" w:color="auto" w:sz="4" w:space="0"/>
                  </w:tcBorders>
                  <w:vAlign w:val="center"/>
                </w:tcPr>
                <w:p w14:paraId="31E11EAE">
                  <w:pPr>
                    <w:jc w:val="center"/>
                    <w:rPr>
                      <w:color w:val="auto"/>
                      <w:sz w:val="18"/>
                      <w:szCs w:val="18"/>
                    </w:rPr>
                  </w:pPr>
                  <w:r>
                    <w:rPr>
                      <w:rFonts w:hint="eastAsia"/>
                      <w:color w:val="auto"/>
                      <w:sz w:val="18"/>
                      <w:szCs w:val="18"/>
                    </w:rPr>
                    <w:t>/</w:t>
                  </w:r>
                </w:p>
              </w:tc>
              <w:tc>
                <w:tcPr>
                  <w:tcW w:w="425" w:type="pct"/>
                  <w:tcBorders>
                    <w:left w:val="single" w:color="auto" w:sz="4" w:space="0"/>
                  </w:tcBorders>
                  <w:vAlign w:val="center"/>
                </w:tcPr>
                <w:p w14:paraId="62BD11A6">
                  <w:pPr>
                    <w:jc w:val="center"/>
                    <w:rPr>
                      <w:color w:val="auto"/>
                      <w:sz w:val="18"/>
                      <w:szCs w:val="18"/>
                    </w:rPr>
                  </w:pPr>
                  <w:r>
                    <w:rPr>
                      <w:rFonts w:hint="eastAsia"/>
                      <w:color w:val="auto"/>
                      <w:sz w:val="18"/>
                      <w:szCs w:val="18"/>
                    </w:rPr>
                    <w:t>原有</w:t>
                  </w:r>
                </w:p>
              </w:tc>
            </w:tr>
            <w:tr w14:paraId="19CE889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1" w:type="pct"/>
                  <w:vAlign w:val="center"/>
                </w:tcPr>
                <w:p w14:paraId="53FADBD6">
                  <w:pPr>
                    <w:jc w:val="center"/>
                    <w:rPr>
                      <w:color w:val="auto"/>
                      <w:sz w:val="18"/>
                      <w:szCs w:val="18"/>
                    </w:rPr>
                  </w:pPr>
                  <w:r>
                    <w:rPr>
                      <w:rFonts w:hint="eastAsia"/>
                      <w:color w:val="auto"/>
                      <w:sz w:val="18"/>
                      <w:szCs w:val="18"/>
                    </w:rPr>
                    <w:t>4</w:t>
                  </w:r>
                </w:p>
              </w:tc>
              <w:tc>
                <w:tcPr>
                  <w:tcW w:w="692" w:type="pct"/>
                  <w:vAlign w:val="center"/>
                </w:tcPr>
                <w:p w14:paraId="55AD3596">
                  <w:pPr>
                    <w:jc w:val="center"/>
                    <w:rPr>
                      <w:color w:val="auto"/>
                      <w:sz w:val="18"/>
                      <w:szCs w:val="18"/>
                    </w:rPr>
                  </w:pPr>
                  <w:r>
                    <w:rPr>
                      <w:rFonts w:hint="eastAsia"/>
                      <w:color w:val="auto"/>
                      <w:sz w:val="18"/>
                      <w:szCs w:val="18"/>
                    </w:rPr>
                    <w:t>成品堆场</w:t>
                  </w:r>
                </w:p>
              </w:tc>
              <w:tc>
                <w:tcPr>
                  <w:tcW w:w="939" w:type="pct"/>
                  <w:vAlign w:val="center"/>
                </w:tcPr>
                <w:p w14:paraId="1676AD20">
                  <w:pPr>
                    <w:jc w:val="center"/>
                    <w:rPr>
                      <w:color w:val="auto"/>
                      <w:sz w:val="18"/>
                      <w:szCs w:val="18"/>
                    </w:rPr>
                  </w:pPr>
                  <w:r>
                    <w:rPr>
                      <w:rFonts w:hint="eastAsia"/>
                      <w:color w:val="auto"/>
                      <w:sz w:val="18"/>
                      <w:szCs w:val="18"/>
                    </w:rPr>
                    <w:t>2800</w:t>
                  </w:r>
                </w:p>
              </w:tc>
              <w:tc>
                <w:tcPr>
                  <w:tcW w:w="912" w:type="pct"/>
                  <w:vAlign w:val="center"/>
                </w:tcPr>
                <w:p w14:paraId="4AA0B54B">
                  <w:pPr>
                    <w:jc w:val="center"/>
                    <w:rPr>
                      <w:color w:val="auto"/>
                      <w:sz w:val="18"/>
                      <w:szCs w:val="18"/>
                    </w:rPr>
                  </w:pPr>
                  <w:r>
                    <w:rPr>
                      <w:rFonts w:hint="eastAsia"/>
                      <w:color w:val="auto"/>
                      <w:sz w:val="18"/>
                      <w:szCs w:val="18"/>
                    </w:rPr>
                    <w:t>/</w:t>
                  </w:r>
                </w:p>
              </w:tc>
              <w:tc>
                <w:tcPr>
                  <w:tcW w:w="1053" w:type="pct"/>
                  <w:vAlign w:val="center"/>
                </w:tcPr>
                <w:p w14:paraId="1505FA65">
                  <w:pPr>
                    <w:jc w:val="center"/>
                    <w:rPr>
                      <w:color w:val="auto"/>
                      <w:sz w:val="18"/>
                      <w:szCs w:val="18"/>
                    </w:rPr>
                  </w:pPr>
                  <w:r>
                    <w:rPr>
                      <w:rFonts w:hint="eastAsia"/>
                      <w:color w:val="auto"/>
                      <w:sz w:val="18"/>
                      <w:szCs w:val="18"/>
                    </w:rPr>
                    <w:t>水泥混凝土硬化</w:t>
                  </w:r>
                </w:p>
              </w:tc>
              <w:tc>
                <w:tcPr>
                  <w:tcW w:w="554" w:type="pct"/>
                  <w:tcBorders>
                    <w:right w:val="single" w:color="auto" w:sz="4" w:space="0"/>
                  </w:tcBorders>
                  <w:vAlign w:val="center"/>
                </w:tcPr>
                <w:p w14:paraId="70FF1C55">
                  <w:pPr>
                    <w:jc w:val="center"/>
                    <w:rPr>
                      <w:color w:val="auto"/>
                      <w:sz w:val="18"/>
                      <w:szCs w:val="18"/>
                    </w:rPr>
                  </w:pPr>
                  <w:r>
                    <w:rPr>
                      <w:rFonts w:hint="eastAsia"/>
                      <w:color w:val="auto"/>
                      <w:sz w:val="18"/>
                      <w:szCs w:val="18"/>
                    </w:rPr>
                    <w:t>/</w:t>
                  </w:r>
                </w:p>
              </w:tc>
              <w:tc>
                <w:tcPr>
                  <w:tcW w:w="425" w:type="pct"/>
                  <w:tcBorders>
                    <w:left w:val="single" w:color="auto" w:sz="4" w:space="0"/>
                  </w:tcBorders>
                  <w:vAlign w:val="center"/>
                </w:tcPr>
                <w:p w14:paraId="221230F2">
                  <w:pPr>
                    <w:jc w:val="center"/>
                    <w:rPr>
                      <w:color w:val="auto"/>
                      <w:sz w:val="18"/>
                      <w:szCs w:val="18"/>
                    </w:rPr>
                  </w:pPr>
                  <w:r>
                    <w:rPr>
                      <w:rFonts w:hint="eastAsia"/>
                      <w:color w:val="auto"/>
                      <w:sz w:val="18"/>
                      <w:szCs w:val="18"/>
                    </w:rPr>
                    <w:t>原有</w:t>
                  </w:r>
                </w:p>
              </w:tc>
            </w:tr>
            <w:tr w14:paraId="277B8E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1" w:type="pct"/>
                  <w:vAlign w:val="center"/>
                </w:tcPr>
                <w:p w14:paraId="70B4AC0B">
                  <w:pPr>
                    <w:jc w:val="center"/>
                    <w:rPr>
                      <w:color w:val="auto"/>
                      <w:sz w:val="18"/>
                      <w:szCs w:val="18"/>
                    </w:rPr>
                  </w:pPr>
                  <w:r>
                    <w:rPr>
                      <w:rFonts w:hint="eastAsia"/>
                      <w:color w:val="auto"/>
                      <w:sz w:val="18"/>
                      <w:szCs w:val="18"/>
                    </w:rPr>
                    <w:t>5</w:t>
                  </w:r>
                </w:p>
              </w:tc>
              <w:tc>
                <w:tcPr>
                  <w:tcW w:w="692" w:type="pct"/>
                  <w:vAlign w:val="center"/>
                </w:tcPr>
                <w:p w14:paraId="26B1FE79">
                  <w:pPr>
                    <w:jc w:val="center"/>
                    <w:rPr>
                      <w:color w:val="auto"/>
                      <w:sz w:val="18"/>
                      <w:szCs w:val="18"/>
                    </w:rPr>
                  </w:pPr>
                  <w:r>
                    <w:rPr>
                      <w:rFonts w:hint="eastAsia"/>
                      <w:color w:val="auto"/>
                      <w:sz w:val="18"/>
                      <w:szCs w:val="18"/>
                    </w:rPr>
                    <w:t>净水池</w:t>
                  </w:r>
                </w:p>
              </w:tc>
              <w:tc>
                <w:tcPr>
                  <w:tcW w:w="939" w:type="pct"/>
                  <w:vAlign w:val="center"/>
                </w:tcPr>
                <w:p w14:paraId="3A4B9879">
                  <w:pPr>
                    <w:jc w:val="center"/>
                    <w:rPr>
                      <w:color w:val="auto"/>
                      <w:sz w:val="18"/>
                      <w:szCs w:val="18"/>
                    </w:rPr>
                  </w:pPr>
                  <w:r>
                    <w:rPr>
                      <w:rFonts w:hint="eastAsia"/>
                      <w:color w:val="auto"/>
                      <w:sz w:val="18"/>
                      <w:szCs w:val="18"/>
                    </w:rPr>
                    <w:t>410.4</w:t>
                  </w:r>
                </w:p>
              </w:tc>
              <w:tc>
                <w:tcPr>
                  <w:tcW w:w="912" w:type="pct"/>
                  <w:vAlign w:val="center"/>
                </w:tcPr>
                <w:p w14:paraId="4A9F2AE3">
                  <w:pPr>
                    <w:jc w:val="center"/>
                    <w:rPr>
                      <w:color w:val="auto"/>
                      <w:sz w:val="18"/>
                      <w:szCs w:val="18"/>
                    </w:rPr>
                  </w:pPr>
                  <w:r>
                    <w:rPr>
                      <w:rFonts w:hint="eastAsia"/>
                      <w:color w:val="auto"/>
                      <w:sz w:val="18"/>
                      <w:szCs w:val="18"/>
                    </w:rPr>
                    <w:t>/</w:t>
                  </w:r>
                </w:p>
              </w:tc>
              <w:tc>
                <w:tcPr>
                  <w:tcW w:w="1053" w:type="pct"/>
                  <w:vAlign w:val="center"/>
                </w:tcPr>
                <w:p w14:paraId="6210CC65">
                  <w:pPr>
                    <w:jc w:val="center"/>
                    <w:rPr>
                      <w:color w:val="auto"/>
                      <w:sz w:val="18"/>
                      <w:szCs w:val="18"/>
                    </w:rPr>
                  </w:pPr>
                  <w:r>
                    <w:rPr>
                      <w:rFonts w:hint="eastAsia"/>
                      <w:color w:val="auto"/>
                      <w:sz w:val="18"/>
                      <w:szCs w:val="18"/>
                    </w:rPr>
                    <w:t>地下</w:t>
                  </w:r>
                </w:p>
              </w:tc>
              <w:tc>
                <w:tcPr>
                  <w:tcW w:w="554" w:type="pct"/>
                  <w:tcBorders>
                    <w:right w:val="single" w:color="auto" w:sz="4" w:space="0"/>
                  </w:tcBorders>
                  <w:vAlign w:val="center"/>
                </w:tcPr>
                <w:p w14:paraId="21D3109A">
                  <w:pPr>
                    <w:jc w:val="center"/>
                    <w:rPr>
                      <w:color w:val="auto"/>
                      <w:sz w:val="18"/>
                      <w:szCs w:val="18"/>
                    </w:rPr>
                  </w:pPr>
                  <w:r>
                    <w:rPr>
                      <w:rFonts w:hint="eastAsia"/>
                      <w:color w:val="auto"/>
                      <w:sz w:val="18"/>
                      <w:szCs w:val="18"/>
                    </w:rPr>
                    <w:t>/</w:t>
                  </w:r>
                </w:p>
              </w:tc>
              <w:tc>
                <w:tcPr>
                  <w:tcW w:w="425" w:type="pct"/>
                  <w:tcBorders>
                    <w:left w:val="single" w:color="auto" w:sz="4" w:space="0"/>
                  </w:tcBorders>
                  <w:vAlign w:val="center"/>
                </w:tcPr>
                <w:p w14:paraId="641C9FEE">
                  <w:pPr>
                    <w:jc w:val="center"/>
                    <w:rPr>
                      <w:color w:val="auto"/>
                      <w:sz w:val="18"/>
                      <w:szCs w:val="18"/>
                    </w:rPr>
                  </w:pPr>
                  <w:r>
                    <w:rPr>
                      <w:rFonts w:hint="eastAsia"/>
                      <w:color w:val="auto"/>
                      <w:sz w:val="18"/>
                      <w:szCs w:val="18"/>
                    </w:rPr>
                    <w:t>新建</w:t>
                  </w:r>
                </w:p>
              </w:tc>
            </w:tr>
          </w:tbl>
          <w:p w14:paraId="3C29D208">
            <w:pPr>
              <w:adjustRightInd w:val="0"/>
              <w:snapToGrid w:val="0"/>
              <w:spacing w:line="360" w:lineRule="auto"/>
              <w:rPr>
                <w:i/>
                <w:iCs/>
                <w:color w:val="auto"/>
                <w:u w:val="single"/>
              </w:rPr>
            </w:pPr>
          </w:p>
          <w:p w14:paraId="4E20D538">
            <w:pPr>
              <w:pStyle w:val="43"/>
              <w:adjustRightInd w:val="0"/>
              <w:snapToGrid w:val="0"/>
              <w:spacing w:beforeLines="0" w:after="0" w:afterAutospacing="0"/>
              <w:rPr>
                <w:rFonts w:ascii="Times New Roman" w:eastAsia="宋体"/>
                <w:b w:val="0"/>
                <w:color w:val="auto"/>
              </w:rPr>
            </w:pPr>
          </w:p>
          <w:p w14:paraId="35DA0143">
            <w:pPr>
              <w:pStyle w:val="43"/>
              <w:adjustRightInd w:val="0"/>
              <w:snapToGrid w:val="0"/>
              <w:spacing w:beforeLines="0" w:after="0" w:afterAutospacing="0"/>
              <w:rPr>
                <w:rFonts w:ascii="Times New Roman" w:eastAsia="宋体"/>
                <w:b w:val="0"/>
                <w:color w:val="auto"/>
              </w:rPr>
            </w:pPr>
          </w:p>
          <w:p w14:paraId="36F76F38">
            <w:pPr>
              <w:pStyle w:val="43"/>
              <w:adjustRightInd w:val="0"/>
              <w:snapToGrid w:val="0"/>
              <w:spacing w:beforeLines="0" w:after="0" w:afterAutospacing="0"/>
              <w:rPr>
                <w:rFonts w:ascii="Times New Roman" w:eastAsia="宋体"/>
                <w:b w:val="0"/>
                <w:color w:val="auto"/>
              </w:rPr>
            </w:pPr>
          </w:p>
          <w:p w14:paraId="595AE08F">
            <w:pPr>
              <w:pStyle w:val="43"/>
              <w:adjustRightInd w:val="0"/>
              <w:snapToGrid w:val="0"/>
              <w:spacing w:beforeLines="0" w:after="0" w:afterAutospacing="0"/>
              <w:rPr>
                <w:rFonts w:ascii="Times New Roman" w:eastAsia="宋体"/>
                <w:b w:val="0"/>
                <w:color w:val="auto"/>
              </w:rPr>
            </w:pPr>
            <w:r>
              <w:rPr>
                <w:rFonts w:hint="eastAsia" w:ascii="Times New Roman" w:eastAsia="宋体"/>
                <w:b w:val="0"/>
                <w:color w:val="auto"/>
              </w:rPr>
              <w:t>项目组成一览表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00"/>
              <w:gridCol w:w="1263"/>
              <w:gridCol w:w="5173"/>
              <w:gridCol w:w="884"/>
            </w:tblGrid>
            <w:tr w14:paraId="4EC4BC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 w:hRule="atLeast"/>
                <w:jc w:val="center"/>
              </w:trPr>
              <w:tc>
                <w:tcPr>
                  <w:tcW w:w="653" w:type="pct"/>
                  <w:vAlign w:val="center"/>
                </w:tcPr>
                <w:p w14:paraId="6BAD9852">
                  <w:pPr>
                    <w:adjustRightInd w:val="0"/>
                    <w:snapToGrid w:val="0"/>
                    <w:jc w:val="center"/>
                    <w:rPr>
                      <w:color w:val="auto"/>
                      <w:sz w:val="18"/>
                      <w:szCs w:val="18"/>
                    </w:rPr>
                  </w:pPr>
                  <w:r>
                    <w:rPr>
                      <w:color w:val="auto"/>
                      <w:sz w:val="18"/>
                      <w:szCs w:val="18"/>
                    </w:rPr>
                    <w:t>项目</w:t>
                  </w:r>
                </w:p>
              </w:tc>
              <w:tc>
                <w:tcPr>
                  <w:tcW w:w="750" w:type="pct"/>
                  <w:vAlign w:val="center"/>
                </w:tcPr>
                <w:p w14:paraId="560B063A">
                  <w:pPr>
                    <w:adjustRightInd w:val="0"/>
                    <w:snapToGrid w:val="0"/>
                    <w:jc w:val="center"/>
                    <w:rPr>
                      <w:color w:val="auto"/>
                      <w:sz w:val="18"/>
                      <w:szCs w:val="18"/>
                    </w:rPr>
                  </w:pPr>
                  <w:r>
                    <w:rPr>
                      <w:color w:val="auto"/>
                      <w:sz w:val="18"/>
                      <w:szCs w:val="18"/>
                    </w:rPr>
                    <w:t>工程名称</w:t>
                  </w:r>
                </w:p>
              </w:tc>
              <w:tc>
                <w:tcPr>
                  <w:tcW w:w="3071" w:type="pct"/>
                  <w:tcBorders>
                    <w:right w:val="single" w:color="auto" w:sz="4" w:space="0"/>
                  </w:tcBorders>
                  <w:vAlign w:val="center"/>
                </w:tcPr>
                <w:p w14:paraId="622DC370">
                  <w:pPr>
                    <w:adjustRightInd w:val="0"/>
                    <w:snapToGrid w:val="0"/>
                    <w:jc w:val="center"/>
                    <w:rPr>
                      <w:color w:val="auto"/>
                      <w:sz w:val="18"/>
                      <w:szCs w:val="18"/>
                    </w:rPr>
                  </w:pPr>
                  <w:r>
                    <w:rPr>
                      <w:color w:val="auto"/>
                      <w:sz w:val="18"/>
                      <w:szCs w:val="18"/>
                    </w:rPr>
                    <w:t>建设内容</w:t>
                  </w:r>
                </w:p>
              </w:tc>
              <w:tc>
                <w:tcPr>
                  <w:tcW w:w="524" w:type="pct"/>
                  <w:tcBorders>
                    <w:left w:val="single" w:color="auto" w:sz="4" w:space="0"/>
                  </w:tcBorders>
                  <w:vAlign w:val="center"/>
                </w:tcPr>
                <w:p w14:paraId="36742119">
                  <w:pPr>
                    <w:adjustRightInd w:val="0"/>
                    <w:snapToGrid w:val="0"/>
                    <w:jc w:val="center"/>
                    <w:rPr>
                      <w:color w:val="auto"/>
                      <w:sz w:val="18"/>
                      <w:szCs w:val="18"/>
                    </w:rPr>
                  </w:pPr>
                  <w:r>
                    <w:rPr>
                      <w:rFonts w:hint="eastAsia"/>
                      <w:color w:val="auto"/>
                      <w:sz w:val="18"/>
                      <w:szCs w:val="18"/>
                    </w:rPr>
                    <w:t>备注</w:t>
                  </w:r>
                </w:p>
              </w:tc>
            </w:tr>
            <w:tr w14:paraId="6B1434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9" w:hRule="atLeast"/>
                <w:jc w:val="center"/>
              </w:trPr>
              <w:tc>
                <w:tcPr>
                  <w:tcW w:w="653" w:type="pct"/>
                  <w:vAlign w:val="center"/>
                </w:tcPr>
                <w:p w14:paraId="0903157E">
                  <w:pPr>
                    <w:adjustRightInd w:val="0"/>
                    <w:snapToGrid w:val="0"/>
                    <w:jc w:val="center"/>
                    <w:rPr>
                      <w:color w:val="auto"/>
                      <w:sz w:val="18"/>
                      <w:szCs w:val="18"/>
                    </w:rPr>
                  </w:pPr>
                  <w:r>
                    <w:rPr>
                      <w:color w:val="auto"/>
                      <w:sz w:val="18"/>
                      <w:szCs w:val="18"/>
                    </w:rPr>
                    <w:t>主体工程</w:t>
                  </w:r>
                </w:p>
              </w:tc>
              <w:tc>
                <w:tcPr>
                  <w:tcW w:w="750" w:type="pct"/>
                  <w:vAlign w:val="center"/>
                </w:tcPr>
                <w:p w14:paraId="56BF1096">
                  <w:pPr>
                    <w:jc w:val="center"/>
                    <w:rPr>
                      <w:color w:val="auto"/>
                      <w:sz w:val="18"/>
                      <w:szCs w:val="18"/>
                    </w:rPr>
                  </w:pPr>
                  <w:r>
                    <w:rPr>
                      <w:rFonts w:hint="eastAsia"/>
                      <w:color w:val="auto"/>
                      <w:sz w:val="18"/>
                      <w:szCs w:val="18"/>
                    </w:rPr>
                    <w:t>生产车间</w:t>
                  </w:r>
                </w:p>
              </w:tc>
              <w:tc>
                <w:tcPr>
                  <w:tcW w:w="3071" w:type="pct"/>
                  <w:tcBorders>
                    <w:right w:val="single" w:color="auto" w:sz="4" w:space="0"/>
                  </w:tcBorders>
                  <w:vAlign w:val="center"/>
                </w:tcPr>
                <w:p w14:paraId="3D432CC8">
                  <w:pPr>
                    <w:adjustRightInd w:val="0"/>
                    <w:snapToGrid w:val="0"/>
                    <w:jc w:val="left"/>
                    <w:rPr>
                      <w:color w:val="auto"/>
                      <w:sz w:val="18"/>
                      <w:szCs w:val="18"/>
                    </w:rPr>
                  </w:pPr>
                  <w:r>
                    <w:rPr>
                      <w:rFonts w:hint="eastAsia"/>
                      <w:color w:val="auto"/>
                      <w:sz w:val="18"/>
                      <w:szCs w:val="18"/>
                    </w:rPr>
                    <w:t>建筑面积750</w:t>
                  </w:r>
                  <w:r>
                    <w:rPr>
                      <w:color w:val="auto"/>
                      <w:sz w:val="18"/>
                      <w:szCs w:val="18"/>
                    </w:rPr>
                    <w:t>m</w:t>
                  </w:r>
                  <w:r>
                    <w:rPr>
                      <w:color w:val="auto"/>
                      <w:sz w:val="18"/>
                      <w:szCs w:val="18"/>
                      <w:vertAlign w:val="superscript"/>
                    </w:rPr>
                    <w:t>2</w:t>
                  </w:r>
                  <w:r>
                    <w:rPr>
                      <w:rFonts w:hint="eastAsia"/>
                      <w:color w:val="auto"/>
                      <w:sz w:val="18"/>
                      <w:szCs w:val="18"/>
                    </w:rPr>
                    <w:t>，内设鄂破机、锤破机、滚笼筛、上料机等生产设备，进行机制砂生产。</w:t>
                  </w:r>
                </w:p>
              </w:tc>
              <w:tc>
                <w:tcPr>
                  <w:tcW w:w="524" w:type="pct"/>
                  <w:vMerge w:val="restart"/>
                  <w:tcBorders>
                    <w:left w:val="single" w:color="auto" w:sz="4" w:space="0"/>
                  </w:tcBorders>
                  <w:vAlign w:val="center"/>
                </w:tcPr>
                <w:p w14:paraId="7C08D771">
                  <w:pPr>
                    <w:adjustRightInd w:val="0"/>
                    <w:snapToGrid w:val="0"/>
                    <w:jc w:val="center"/>
                    <w:rPr>
                      <w:color w:val="auto"/>
                      <w:sz w:val="18"/>
                      <w:szCs w:val="18"/>
                    </w:rPr>
                  </w:pPr>
                  <w:r>
                    <w:rPr>
                      <w:rFonts w:hint="eastAsia"/>
                      <w:color w:val="auto"/>
                      <w:sz w:val="18"/>
                      <w:szCs w:val="18"/>
                    </w:rPr>
                    <w:t>利用现有建筑物</w:t>
                  </w:r>
                </w:p>
              </w:tc>
            </w:tr>
            <w:tr w14:paraId="1A8A99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9" w:hRule="atLeast"/>
                <w:jc w:val="center"/>
              </w:trPr>
              <w:tc>
                <w:tcPr>
                  <w:tcW w:w="653" w:type="pct"/>
                  <w:vMerge w:val="restart"/>
                  <w:vAlign w:val="center"/>
                </w:tcPr>
                <w:p w14:paraId="7FD8D008">
                  <w:pPr>
                    <w:adjustRightInd w:val="0"/>
                    <w:snapToGrid w:val="0"/>
                    <w:jc w:val="center"/>
                    <w:rPr>
                      <w:color w:val="auto"/>
                      <w:sz w:val="18"/>
                      <w:szCs w:val="18"/>
                    </w:rPr>
                  </w:pPr>
                  <w:r>
                    <w:rPr>
                      <w:rFonts w:hint="eastAsia"/>
                      <w:color w:val="auto"/>
                      <w:sz w:val="18"/>
                      <w:szCs w:val="18"/>
                    </w:rPr>
                    <w:t>辅助工程</w:t>
                  </w:r>
                </w:p>
              </w:tc>
              <w:tc>
                <w:tcPr>
                  <w:tcW w:w="750" w:type="pct"/>
                  <w:shd w:val="clear" w:color="auto" w:fill="auto"/>
                  <w:vAlign w:val="center"/>
                </w:tcPr>
                <w:p w14:paraId="27283030">
                  <w:pPr>
                    <w:jc w:val="center"/>
                    <w:rPr>
                      <w:color w:val="auto"/>
                      <w:sz w:val="18"/>
                      <w:szCs w:val="18"/>
                    </w:rPr>
                  </w:pPr>
                  <w:r>
                    <w:rPr>
                      <w:rFonts w:hint="eastAsia"/>
                      <w:color w:val="auto"/>
                      <w:sz w:val="18"/>
                      <w:szCs w:val="18"/>
                    </w:rPr>
                    <w:t>办公区</w:t>
                  </w:r>
                </w:p>
              </w:tc>
              <w:tc>
                <w:tcPr>
                  <w:tcW w:w="3071" w:type="pct"/>
                  <w:tcBorders>
                    <w:right w:val="single" w:color="auto" w:sz="4" w:space="0"/>
                  </w:tcBorders>
                  <w:shd w:val="clear" w:color="auto" w:fill="auto"/>
                  <w:vAlign w:val="center"/>
                </w:tcPr>
                <w:p w14:paraId="570CB78C">
                  <w:pPr>
                    <w:adjustRightInd w:val="0"/>
                    <w:snapToGrid w:val="0"/>
                    <w:jc w:val="left"/>
                    <w:rPr>
                      <w:color w:val="auto"/>
                      <w:sz w:val="18"/>
                      <w:szCs w:val="18"/>
                    </w:rPr>
                  </w:pPr>
                  <w:r>
                    <w:rPr>
                      <w:rFonts w:hint="eastAsia"/>
                      <w:color w:val="auto"/>
                      <w:sz w:val="18"/>
                      <w:szCs w:val="18"/>
                    </w:rPr>
                    <w:t>建筑面积12</w:t>
                  </w:r>
                  <w:r>
                    <w:rPr>
                      <w:color w:val="auto"/>
                      <w:sz w:val="18"/>
                      <w:szCs w:val="18"/>
                    </w:rPr>
                    <w:t>0m</w:t>
                  </w:r>
                  <w:r>
                    <w:rPr>
                      <w:color w:val="auto"/>
                      <w:sz w:val="18"/>
                      <w:szCs w:val="18"/>
                      <w:vertAlign w:val="superscript"/>
                    </w:rPr>
                    <w:t>2</w:t>
                  </w:r>
                  <w:r>
                    <w:rPr>
                      <w:rFonts w:hint="eastAsia"/>
                      <w:color w:val="auto"/>
                      <w:sz w:val="18"/>
                      <w:szCs w:val="18"/>
                    </w:rPr>
                    <w:t>，位于门卫2层，主要为人员办公生活。</w:t>
                  </w:r>
                </w:p>
              </w:tc>
              <w:tc>
                <w:tcPr>
                  <w:tcW w:w="524" w:type="pct"/>
                  <w:vMerge w:val="continue"/>
                  <w:tcBorders>
                    <w:left w:val="single" w:color="auto" w:sz="4" w:space="0"/>
                    <w:bottom w:val="single" w:color="auto" w:sz="4" w:space="0"/>
                  </w:tcBorders>
                  <w:vAlign w:val="center"/>
                </w:tcPr>
                <w:p w14:paraId="0F540CC2">
                  <w:pPr>
                    <w:adjustRightInd w:val="0"/>
                    <w:snapToGrid w:val="0"/>
                    <w:jc w:val="center"/>
                    <w:rPr>
                      <w:color w:val="auto"/>
                      <w:sz w:val="18"/>
                      <w:szCs w:val="18"/>
                    </w:rPr>
                  </w:pPr>
                </w:p>
              </w:tc>
            </w:tr>
            <w:tr w14:paraId="4C5FF5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6" w:hRule="atLeast"/>
                <w:jc w:val="center"/>
              </w:trPr>
              <w:tc>
                <w:tcPr>
                  <w:tcW w:w="653" w:type="pct"/>
                  <w:vMerge w:val="continue"/>
                  <w:vAlign w:val="center"/>
                </w:tcPr>
                <w:p w14:paraId="0DA92F35">
                  <w:pPr>
                    <w:adjustRightInd w:val="0"/>
                    <w:snapToGrid w:val="0"/>
                    <w:jc w:val="center"/>
                    <w:rPr>
                      <w:color w:val="auto"/>
                      <w:sz w:val="18"/>
                      <w:szCs w:val="18"/>
                    </w:rPr>
                  </w:pPr>
                </w:p>
              </w:tc>
              <w:tc>
                <w:tcPr>
                  <w:tcW w:w="750" w:type="pct"/>
                  <w:vAlign w:val="center"/>
                </w:tcPr>
                <w:p w14:paraId="0DF58308">
                  <w:pPr>
                    <w:jc w:val="center"/>
                    <w:rPr>
                      <w:color w:val="auto"/>
                      <w:sz w:val="18"/>
                      <w:szCs w:val="18"/>
                    </w:rPr>
                  </w:pPr>
                  <w:r>
                    <w:rPr>
                      <w:rFonts w:hint="eastAsia"/>
                      <w:color w:val="auto"/>
                      <w:sz w:val="18"/>
                      <w:szCs w:val="18"/>
                    </w:rPr>
                    <w:t>净水池</w:t>
                  </w:r>
                </w:p>
              </w:tc>
              <w:tc>
                <w:tcPr>
                  <w:tcW w:w="3071" w:type="pct"/>
                  <w:tcBorders>
                    <w:right w:val="single" w:color="auto" w:sz="4" w:space="0"/>
                  </w:tcBorders>
                  <w:vAlign w:val="center"/>
                </w:tcPr>
                <w:p w14:paraId="60628B38">
                  <w:pPr>
                    <w:adjustRightInd w:val="0"/>
                    <w:snapToGrid w:val="0"/>
                    <w:jc w:val="left"/>
                    <w:rPr>
                      <w:color w:val="auto"/>
                      <w:sz w:val="18"/>
                      <w:szCs w:val="18"/>
                    </w:rPr>
                  </w:pPr>
                  <w:r>
                    <w:rPr>
                      <w:color w:val="auto"/>
                      <w:sz w:val="18"/>
                      <w:szCs w:val="18"/>
                    </w:rPr>
                    <w:t>1座，规格</w:t>
                  </w:r>
                  <w:r>
                    <w:rPr>
                      <w:rFonts w:hint="eastAsia"/>
                      <w:color w:val="auto"/>
                      <w:sz w:val="18"/>
                      <w:szCs w:val="18"/>
                    </w:rPr>
                    <w:t>34.2</w:t>
                  </w:r>
                  <w:r>
                    <w:rPr>
                      <w:color w:val="auto"/>
                      <w:sz w:val="18"/>
                      <w:szCs w:val="18"/>
                    </w:rPr>
                    <w:t>m×</w:t>
                  </w:r>
                  <w:r>
                    <w:rPr>
                      <w:rFonts w:hint="eastAsia"/>
                      <w:color w:val="auto"/>
                      <w:sz w:val="18"/>
                      <w:szCs w:val="18"/>
                    </w:rPr>
                    <w:t>12</w:t>
                  </w:r>
                  <w:r>
                    <w:rPr>
                      <w:color w:val="auto"/>
                      <w:sz w:val="18"/>
                      <w:szCs w:val="18"/>
                    </w:rPr>
                    <w:t>m×</w:t>
                  </w:r>
                  <w:r>
                    <w:rPr>
                      <w:rFonts w:hint="eastAsia"/>
                      <w:color w:val="auto"/>
                      <w:sz w:val="18"/>
                      <w:szCs w:val="18"/>
                    </w:rPr>
                    <w:t>1.5</w:t>
                  </w:r>
                  <w:r>
                    <w:rPr>
                      <w:color w:val="auto"/>
                      <w:sz w:val="18"/>
                      <w:szCs w:val="18"/>
                    </w:rPr>
                    <w:t>m，防渗性能不低于1.5m厚渗透系数为1.0×10</w:t>
                  </w:r>
                  <w:r>
                    <w:rPr>
                      <w:color w:val="auto"/>
                      <w:sz w:val="18"/>
                      <w:szCs w:val="18"/>
                      <w:vertAlign w:val="superscript"/>
                    </w:rPr>
                    <w:t>-7</w:t>
                  </w:r>
                  <w:r>
                    <w:rPr>
                      <w:color w:val="auto"/>
                      <w:sz w:val="18"/>
                      <w:szCs w:val="18"/>
                    </w:rPr>
                    <w:t>cm/s的黏土层。</w:t>
                  </w:r>
                </w:p>
              </w:tc>
              <w:tc>
                <w:tcPr>
                  <w:tcW w:w="524" w:type="pct"/>
                  <w:tcBorders>
                    <w:top w:val="single" w:color="auto" w:sz="4" w:space="0"/>
                    <w:left w:val="single" w:color="auto" w:sz="4" w:space="0"/>
                    <w:bottom w:val="single" w:color="auto" w:sz="4" w:space="0"/>
                  </w:tcBorders>
                  <w:vAlign w:val="center"/>
                </w:tcPr>
                <w:p w14:paraId="02D32127">
                  <w:pPr>
                    <w:adjustRightInd w:val="0"/>
                    <w:snapToGrid w:val="0"/>
                    <w:jc w:val="center"/>
                    <w:rPr>
                      <w:color w:val="auto"/>
                      <w:sz w:val="18"/>
                      <w:szCs w:val="18"/>
                    </w:rPr>
                  </w:pPr>
                  <w:r>
                    <w:rPr>
                      <w:rFonts w:hint="eastAsia"/>
                      <w:color w:val="auto"/>
                      <w:sz w:val="18"/>
                      <w:szCs w:val="18"/>
                    </w:rPr>
                    <w:t>新建</w:t>
                  </w:r>
                </w:p>
              </w:tc>
            </w:tr>
            <w:tr w14:paraId="6F8382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4" w:hRule="atLeast"/>
                <w:jc w:val="center"/>
              </w:trPr>
              <w:tc>
                <w:tcPr>
                  <w:tcW w:w="653" w:type="pct"/>
                  <w:vMerge w:val="restart"/>
                  <w:vAlign w:val="center"/>
                </w:tcPr>
                <w:p w14:paraId="44E7C896">
                  <w:pPr>
                    <w:adjustRightInd w:val="0"/>
                    <w:snapToGrid w:val="0"/>
                    <w:jc w:val="center"/>
                    <w:rPr>
                      <w:color w:val="auto"/>
                      <w:sz w:val="18"/>
                      <w:szCs w:val="18"/>
                    </w:rPr>
                  </w:pPr>
                  <w:r>
                    <w:rPr>
                      <w:color w:val="auto"/>
                      <w:sz w:val="18"/>
                      <w:szCs w:val="18"/>
                    </w:rPr>
                    <w:t>储运工程</w:t>
                  </w:r>
                </w:p>
              </w:tc>
              <w:tc>
                <w:tcPr>
                  <w:tcW w:w="750" w:type="pct"/>
                  <w:vAlign w:val="center"/>
                </w:tcPr>
                <w:p w14:paraId="24CB6BE0">
                  <w:pPr>
                    <w:adjustRightInd w:val="0"/>
                    <w:snapToGrid w:val="0"/>
                    <w:jc w:val="center"/>
                    <w:rPr>
                      <w:color w:val="auto"/>
                      <w:sz w:val="18"/>
                      <w:szCs w:val="18"/>
                    </w:rPr>
                  </w:pPr>
                  <w:r>
                    <w:rPr>
                      <w:rFonts w:hint="eastAsia"/>
                      <w:color w:val="auto"/>
                      <w:sz w:val="18"/>
                      <w:szCs w:val="18"/>
                    </w:rPr>
                    <w:t>原料堆场</w:t>
                  </w:r>
                </w:p>
              </w:tc>
              <w:tc>
                <w:tcPr>
                  <w:tcW w:w="3071" w:type="pct"/>
                  <w:tcBorders>
                    <w:right w:val="single" w:color="auto" w:sz="4" w:space="0"/>
                  </w:tcBorders>
                  <w:vAlign w:val="center"/>
                </w:tcPr>
                <w:p w14:paraId="3C85EDC6">
                  <w:pPr>
                    <w:adjustRightInd w:val="0"/>
                    <w:snapToGrid w:val="0"/>
                    <w:jc w:val="left"/>
                    <w:rPr>
                      <w:color w:val="auto"/>
                      <w:sz w:val="18"/>
                      <w:szCs w:val="18"/>
                    </w:rPr>
                  </w:pPr>
                  <w:r>
                    <w:rPr>
                      <w:rFonts w:hint="eastAsia"/>
                      <w:color w:val="auto"/>
                      <w:sz w:val="18"/>
                      <w:szCs w:val="18"/>
                    </w:rPr>
                    <w:t>占地面积2000m</w:t>
                  </w:r>
                  <w:r>
                    <w:rPr>
                      <w:rFonts w:hint="eastAsia"/>
                      <w:color w:val="auto"/>
                      <w:sz w:val="18"/>
                      <w:szCs w:val="18"/>
                      <w:vertAlign w:val="superscript"/>
                    </w:rPr>
                    <w:t>2</w:t>
                  </w:r>
                  <w:r>
                    <w:rPr>
                      <w:rFonts w:hint="eastAsia"/>
                      <w:color w:val="auto"/>
                      <w:sz w:val="18"/>
                      <w:szCs w:val="18"/>
                    </w:rPr>
                    <w:t>，堆高4m，最大堆存量为0.8万m</w:t>
                  </w:r>
                  <w:r>
                    <w:rPr>
                      <w:rFonts w:hint="eastAsia"/>
                      <w:color w:val="auto"/>
                      <w:sz w:val="18"/>
                      <w:szCs w:val="18"/>
                      <w:vertAlign w:val="superscript"/>
                    </w:rPr>
                    <w:t>3</w:t>
                  </w:r>
                  <w:r>
                    <w:rPr>
                      <w:rFonts w:hint="eastAsia"/>
                      <w:color w:val="auto"/>
                      <w:sz w:val="18"/>
                      <w:szCs w:val="18"/>
                    </w:rPr>
                    <w:t>，露天堆存、苫布覆盖。地面已经进行水泥混凝土硬化处理；</w:t>
                  </w:r>
                </w:p>
              </w:tc>
              <w:tc>
                <w:tcPr>
                  <w:tcW w:w="524" w:type="pct"/>
                  <w:tcBorders>
                    <w:top w:val="single" w:color="auto" w:sz="4" w:space="0"/>
                    <w:left w:val="single" w:color="auto" w:sz="4" w:space="0"/>
                  </w:tcBorders>
                  <w:vAlign w:val="center"/>
                </w:tcPr>
                <w:p w14:paraId="71491754">
                  <w:pPr>
                    <w:adjustRightInd w:val="0"/>
                    <w:snapToGrid w:val="0"/>
                    <w:jc w:val="center"/>
                    <w:rPr>
                      <w:color w:val="auto"/>
                      <w:sz w:val="18"/>
                      <w:szCs w:val="18"/>
                    </w:rPr>
                  </w:pPr>
                  <w:r>
                    <w:rPr>
                      <w:rFonts w:hint="eastAsia"/>
                      <w:color w:val="auto"/>
                      <w:sz w:val="18"/>
                      <w:szCs w:val="18"/>
                    </w:rPr>
                    <w:t>依托</w:t>
                  </w:r>
                </w:p>
              </w:tc>
            </w:tr>
            <w:tr w14:paraId="584CBD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653" w:type="pct"/>
                  <w:vMerge w:val="continue"/>
                  <w:vAlign w:val="center"/>
                </w:tcPr>
                <w:p w14:paraId="5A244992">
                  <w:pPr>
                    <w:adjustRightInd w:val="0"/>
                    <w:snapToGrid w:val="0"/>
                    <w:jc w:val="center"/>
                    <w:rPr>
                      <w:color w:val="auto"/>
                      <w:sz w:val="18"/>
                      <w:szCs w:val="18"/>
                    </w:rPr>
                  </w:pPr>
                </w:p>
              </w:tc>
              <w:tc>
                <w:tcPr>
                  <w:tcW w:w="750" w:type="pct"/>
                  <w:vAlign w:val="center"/>
                </w:tcPr>
                <w:p w14:paraId="0AE09655">
                  <w:pPr>
                    <w:adjustRightInd w:val="0"/>
                    <w:snapToGrid w:val="0"/>
                    <w:jc w:val="center"/>
                    <w:rPr>
                      <w:color w:val="auto"/>
                      <w:sz w:val="18"/>
                      <w:szCs w:val="18"/>
                    </w:rPr>
                  </w:pPr>
                  <w:r>
                    <w:rPr>
                      <w:rFonts w:hint="eastAsia"/>
                      <w:color w:val="auto"/>
                      <w:sz w:val="18"/>
                      <w:szCs w:val="18"/>
                    </w:rPr>
                    <w:t>成品堆场</w:t>
                  </w:r>
                </w:p>
              </w:tc>
              <w:tc>
                <w:tcPr>
                  <w:tcW w:w="3071" w:type="pct"/>
                  <w:tcBorders>
                    <w:right w:val="single" w:color="auto" w:sz="4" w:space="0"/>
                  </w:tcBorders>
                  <w:vAlign w:val="center"/>
                </w:tcPr>
                <w:p w14:paraId="22A2B7C8">
                  <w:pPr>
                    <w:adjustRightInd w:val="0"/>
                    <w:snapToGrid w:val="0"/>
                    <w:jc w:val="left"/>
                    <w:rPr>
                      <w:color w:val="auto"/>
                      <w:sz w:val="18"/>
                      <w:szCs w:val="18"/>
                    </w:rPr>
                  </w:pPr>
                  <w:r>
                    <w:rPr>
                      <w:rFonts w:hint="eastAsia"/>
                      <w:color w:val="auto"/>
                      <w:sz w:val="18"/>
                      <w:szCs w:val="18"/>
                    </w:rPr>
                    <w:t>占地面积2800m</w:t>
                  </w:r>
                  <w:r>
                    <w:rPr>
                      <w:rFonts w:hint="eastAsia"/>
                      <w:color w:val="auto"/>
                      <w:sz w:val="18"/>
                      <w:szCs w:val="18"/>
                      <w:vertAlign w:val="superscript"/>
                    </w:rPr>
                    <w:t>2</w:t>
                  </w:r>
                  <w:r>
                    <w:rPr>
                      <w:rFonts w:hint="eastAsia"/>
                      <w:color w:val="auto"/>
                      <w:sz w:val="18"/>
                      <w:szCs w:val="18"/>
                    </w:rPr>
                    <w:t>，堆高3m，最大堆存量为0.81万m</w:t>
                  </w:r>
                  <w:r>
                    <w:rPr>
                      <w:rFonts w:hint="eastAsia"/>
                      <w:color w:val="auto"/>
                      <w:sz w:val="18"/>
                      <w:szCs w:val="18"/>
                      <w:vertAlign w:val="superscript"/>
                    </w:rPr>
                    <w:t>3</w:t>
                  </w:r>
                  <w:r>
                    <w:rPr>
                      <w:rFonts w:hint="eastAsia"/>
                      <w:color w:val="auto"/>
                      <w:sz w:val="18"/>
                      <w:szCs w:val="18"/>
                    </w:rPr>
                    <w:t>，露天堆存、苫布覆盖。地面已经进行水泥混凝土硬化处理，产品及时外售；</w:t>
                  </w:r>
                </w:p>
              </w:tc>
              <w:tc>
                <w:tcPr>
                  <w:tcW w:w="524" w:type="pct"/>
                  <w:tcBorders>
                    <w:left w:val="single" w:color="auto" w:sz="4" w:space="0"/>
                  </w:tcBorders>
                  <w:vAlign w:val="center"/>
                </w:tcPr>
                <w:p w14:paraId="77EE6BB9">
                  <w:pPr>
                    <w:adjustRightInd w:val="0"/>
                    <w:snapToGrid w:val="0"/>
                    <w:jc w:val="center"/>
                    <w:rPr>
                      <w:color w:val="auto"/>
                      <w:sz w:val="18"/>
                      <w:szCs w:val="18"/>
                    </w:rPr>
                  </w:pPr>
                  <w:r>
                    <w:rPr>
                      <w:rFonts w:hint="eastAsia"/>
                      <w:color w:val="auto"/>
                      <w:sz w:val="18"/>
                      <w:szCs w:val="18"/>
                    </w:rPr>
                    <w:t>依托</w:t>
                  </w:r>
                </w:p>
              </w:tc>
            </w:tr>
            <w:tr w14:paraId="7846BE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53" w:type="pct"/>
                  <w:vMerge w:val="restart"/>
                  <w:vAlign w:val="center"/>
                </w:tcPr>
                <w:p w14:paraId="736899DF">
                  <w:pPr>
                    <w:adjustRightInd w:val="0"/>
                    <w:snapToGrid w:val="0"/>
                    <w:jc w:val="center"/>
                    <w:rPr>
                      <w:color w:val="auto"/>
                      <w:sz w:val="18"/>
                      <w:szCs w:val="18"/>
                    </w:rPr>
                  </w:pPr>
                  <w:r>
                    <w:rPr>
                      <w:color w:val="auto"/>
                      <w:sz w:val="18"/>
                      <w:szCs w:val="18"/>
                    </w:rPr>
                    <w:t>公用工程</w:t>
                  </w:r>
                </w:p>
              </w:tc>
              <w:tc>
                <w:tcPr>
                  <w:tcW w:w="750" w:type="pct"/>
                  <w:vAlign w:val="center"/>
                </w:tcPr>
                <w:p w14:paraId="711D533E">
                  <w:pPr>
                    <w:adjustRightInd w:val="0"/>
                    <w:snapToGrid w:val="0"/>
                    <w:jc w:val="center"/>
                    <w:rPr>
                      <w:color w:val="auto"/>
                      <w:sz w:val="18"/>
                      <w:szCs w:val="18"/>
                    </w:rPr>
                  </w:pPr>
                  <w:r>
                    <w:rPr>
                      <w:rFonts w:hint="eastAsia"/>
                      <w:color w:val="auto"/>
                      <w:sz w:val="18"/>
                      <w:szCs w:val="18"/>
                    </w:rPr>
                    <w:t>供水</w:t>
                  </w:r>
                </w:p>
              </w:tc>
              <w:tc>
                <w:tcPr>
                  <w:tcW w:w="3071" w:type="pct"/>
                  <w:tcBorders>
                    <w:right w:val="single" w:color="auto" w:sz="4" w:space="0"/>
                  </w:tcBorders>
                  <w:vAlign w:val="center"/>
                </w:tcPr>
                <w:p w14:paraId="63F26442">
                  <w:pPr>
                    <w:adjustRightInd w:val="0"/>
                    <w:snapToGrid w:val="0"/>
                    <w:jc w:val="left"/>
                    <w:rPr>
                      <w:color w:val="auto"/>
                      <w:sz w:val="18"/>
                      <w:szCs w:val="18"/>
                    </w:rPr>
                  </w:pPr>
                  <w:r>
                    <w:rPr>
                      <w:rFonts w:hint="eastAsia"/>
                      <w:color w:val="auto"/>
                      <w:sz w:val="18"/>
                      <w:szCs w:val="18"/>
                    </w:rPr>
                    <w:t>由</w:t>
                  </w:r>
                  <w:r>
                    <w:rPr>
                      <w:color w:val="auto"/>
                      <w:sz w:val="18"/>
                      <w:szCs w:val="18"/>
                    </w:rPr>
                    <w:t>厂区内深井</w:t>
                  </w:r>
                  <w:r>
                    <w:rPr>
                      <w:rFonts w:hint="eastAsia"/>
                      <w:color w:val="auto"/>
                      <w:sz w:val="18"/>
                      <w:szCs w:val="18"/>
                    </w:rPr>
                    <w:t>提供，出水量为10t/h，满足项目要求；</w:t>
                  </w:r>
                </w:p>
              </w:tc>
              <w:tc>
                <w:tcPr>
                  <w:tcW w:w="524" w:type="pct"/>
                  <w:tcBorders>
                    <w:left w:val="single" w:color="auto" w:sz="4" w:space="0"/>
                  </w:tcBorders>
                  <w:vAlign w:val="center"/>
                </w:tcPr>
                <w:p w14:paraId="743FDB19">
                  <w:pPr>
                    <w:adjustRightInd w:val="0"/>
                    <w:snapToGrid w:val="0"/>
                    <w:jc w:val="center"/>
                    <w:rPr>
                      <w:color w:val="auto"/>
                      <w:sz w:val="18"/>
                      <w:szCs w:val="18"/>
                    </w:rPr>
                  </w:pPr>
                  <w:r>
                    <w:rPr>
                      <w:rFonts w:hint="eastAsia"/>
                      <w:color w:val="auto"/>
                      <w:sz w:val="18"/>
                      <w:szCs w:val="18"/>
                    </w:rPr>
                    <w:t>依托</w:t>
                  </w:r>
                </w:p>
              </w:tc>
            </w:tr>
            <w:tr w14:paraId="409932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53" w:type="pct"/>
                  <w:vMerge w:val="continue"/>
                  <w:vAlign w:val="center"/>
                </w:tcPr>
                <w:p w14:paraId="20F73633">
                  <w:pPr>
                    <w:adjustRightInd w:val="0"/>
                    <w:snapToGrid w:val="0"/>
                    <w:jc w:val="center"/>
                    <w:rPr>
                      <w:color w:val="auto"/>
                      <w:sz w:val="18"/>
                      <w:szCs w:val="18"/>
                    </w:rPr>
                  </w:pPr>
                </w:p>
              </w:tc>
              <w:tc>
                <w:tcPr>
                  <w:tcW w:w="750" w:type="pct"/>
                  <w:vAlign w:val="center"/>
                </w:tcPr>
                <w:p w14:paraId="0EF197E8">
                  <w:pPr>
                    <w:adjustRightInd w:val="0"/>
                    <w:snapToGrid w:val="0"/>
                    <w:jc w:val="center"/>
                    <w:rPr>
                      <w:color w:val="auto"/>
                      <w:sz w:val="18"/>
                      <w:szCs w:val="18"/>
                    </w:rPr>
                  </w:pPr>
                  <w:r>
                    <w:rPr>
                      <w:rFonts w:hint="eastAsia"/>
                      <w:color w:val="auto"/>
                      <w:sz w:val="18"/>
                      <w:szCs w:val="18"/>
                    </w:rPr>
                    <w:t>排水</w:t>
                  </w:r>
                </w:p>
              </w:tc>
              <w:tc>
                <w:tcPr>
                  <w:tcW w:w="3071" w:type="pct"/>
                  <w:tcBorders>
                    <w:right w:val="single" w:color="auto" w:sz="4" w:space="0"/>
                  </w:tcBorders>
                  <w:vAlign w:val="center"/>
                </w:tcPr>
                <w:p w14:paraId="12BB59C3">
                  <w:pPr>
                    <w:adjustRightInd w:val="0"/>
                    <w:snapToGrid w:val="0"/>
                    <w:jc w:val="left"/>
                    <w:rPr>
                      <w:color w:val="auto"/>
                      <w:sz w:val="18"/>
                      <w:szCs w:val="18"/>
                    </w:rPr>
                  </w:pPr>
                  <w:r>
                    <w:rPr>
                      <w:color w:val="auto"/>
                      <w:sz w:val="18"/>
                      <w:szCs w:val="18"/>
                    </w:rPr>
                    <w:t>生活污水排入防渗旱厕，定期清掏作农肥；降尘用水全部蒸发；洗砂废水经</w:t>
                  </w:r>
                  <w:r>
                    <w:rPr>
                      <w:rFonts w:hint="eastAsia"/>
                      <w:color w:val="auto"/>
                      <w:sz w:val="18"/>
                      <w:szCs w:val="18"/>
                    </w:rPr>
                    <w:t>水罐</w:t>
                  </w:r>
                  <w:r>
                    <w:rPr>
                      <w:color w:val="auto"/>
                      <w:sz w:val="18"/>
                      <w:szCs w:val="18"/>
                    </w:rPr>
                    <w:t>沉淀后回用于生产，不外排。</w:t>
                  </w:r>
                </w:p>
              </w:tc>
              <w:tc>
                <w:tcPr>
                  <w:tcW w:w="524" w:type="pct"/>
                  <w:tcBorders>
                    <w:left w:val="single" w:color="auto" w:sz="4" w:space="0"/>
                  </w:tcBorders>
                  <w:vAlign w:val="center"/>
                </w:tcPr>
                <w:p w14:paraId="73FF1F7F">
                  <w:pPr>
                    <w:adjustRightInd w:val="0"/>
                    <w:snapToGrid w:val="0"/>
                    <w:jc w:val="center"/>
                    <w:rPr>
                      <w:color w:val="auto"/>
                      <w:sz w:val="18"/>
                      <w:szCs w:val="18"/>
                    </w:rPr>
                  </w:pPr>
                  <w:r>
                    <w:rPr>
                      <w:rFonts w:hint="eastAsia"/>
                      <w:color w:val="auto"/>
                      <w:sz w:val="18"/>
                      <w:szCs w:val="18"/>
                    </w:rPr>
                    <w:t>依托</w:t>
                  </w:r>
                </w:p>
              </w:tc>
            </w:tr>
            <w:tr w14:paraId="233E4A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53" w:type="pct"/>
                  <w:vMerge w:val="continue"/>
                  <w:vAlign w:val="center"/>
                </w:tcPr>
                <w:p w14:paraId="5DB67CA9">
                  <w:pPr>
                    <w:adjustRightInd w:val="0"/>
                    <w:snapToGrid w:val="0"/>
                    <w:jc w:val="center"/>
                    <w:rPr>
                      <w:color w:val="auto"/>
                      <w:sz w:val="18"/>
                      <w:szCs w:val="18"/>
                    </w:rPr>
                  </w:pPr>
                </w:p>
              </w:tc>
              <w:tc>
                <w:tcPr>
                  <w:tcW w:w="750" w:type="pct"/>
                  <w:shd w:val="clear" w:color="auto" w:fill="auto"/>
                  <w:vAlign w:val="center"/>
                </w:tcPr>
                <w:p w14:paraId="147ED128">
                  <w:pPr>
                    <w:adjustRightInd w:val="0"/>
                    <w:snapToGrid w:val="0"/>
                    <w:jc w:val="center"/>
                    <w:rPr>
                      <w:color w:val="auto"/>
                      <w:sz w:val="18"/>
                      <w:szCs w:val="18"/>
                    </w:rPr>
                  </w:pPr>
                  <w:r>
                    <w:rPr>
                      <w:rFonts w:hint="eastAsia"/>
                      <w:color w:val="auto"/>
                      <w:sz w:val="18"/>
                      <w:szCs w:val="18"/>
                    </w:rPr>
                    <w:t>供电</w:t>
                  </w:r>
                </w:p>
              </w:tc>
              <w:tc>
                <w:tcPr>
                  <w:tcW w:w="3071" w:type="pct"/>
                  <w:tcBorders>
                    <w:right w:val="single" w:color="auto" w:sz="4" w:space="0"/>
                  </w:tcBorders>
                  <w:shd w:val="clear" w:color="auto" w:fill="auto"/>
                  <w:vAlign w:val="center"/>
                </w:tcPr>
                <w:p w14:paraId="2F0104F5">
                  <w:pPr>
                    <w:adjustRightInd w:val="0"/>
                    <w:snapToGrid w:val="0"/>
                    <w:jc w:val="left"/>
                    <w:rPr>
                      <w:color w:val="auto"/>
                      <w:sz w:val="18"/>
                      <w:szCs w:val="18"/>
                    </w:rPr>
                  </w:pPr>
                  <w:r>
                    <w:rPr>
                      <w:rFonts w:hint="eastAsia"/>
                      <w:color w:val="auto"/>
                      <w:sz w:val="18"/>
                      <w:szCs w:val="18"/>
                    </w:rPr>
                    <w:t>由石人镇电网提供；</w:t>
                  </w:r>
                </w:p>
              </w:tc>
              <w:tc>
                <w:tcPr>
                  <w:tcW w:w="524" w:type="pct"/>
                  <w:tcBorders>
                    <w:left w:val="single" w:color="auto" w:sz="4" w:space="0"/>
                  </w:tcBorders>
                  <w:vAlign w:val="center"/>
                </w:tcPr>
                <w:p w14:paraId="70289001">
                  <w:pPr>
                    <w:adjustRightInd w:val="0"/>
                    <w:snapToGrid w:val="0"/>
                    <w:jc w:val="center"/>
                    <w:rPr>
                      <w:color w:val="auto"/>
                      <w:sz w:val="18"/>
                      <w:szCs w:val="18"/>
                    </w:rPr>
                  </w:pPr>
                  <w:r>
                    <w:rPr>
                      <w:rFonts w:hint="eastAsia"/>
                      <w:color w:val="auto"/>
                      <w:sz w:val="18"/>
                      <w:szCs w:val="18"/>
                    </w:rPr>
                    <w:t>依托</w:t>
                  </w:r>
                </w:p>
              </w:tc>
            </w:tr>
            <w:tr w14:paraId="24372D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53" w:type="pct"/>
                  <w:vMerge w:val="continue"/>
                  <w:vAlign w:val="center"/>
                </w:tcPr>
                <w:p w14:paraId="0E56B2C8">
                  <w:pPr>
                    <w:adjustRightInd w:val="0"/>
                    <w:snapToGrid w:val="0"/>
                    <w:jc w:val="center"/>
                    <w:rPr>
                      <w:color w:val="auto"/>
                      <w:sz w:val="18"/>
                      <w:szCs w:val="18"/>
                    </w:rPr>
                  </w:pPr>
                </w:p>
              </w:tc>
              <w:tc>
                <w:tcPr>
                  <w:tcW w:w="750" w:type="pct"/>
                  <w:vAlign w:val="center"/>
                </w:tcPr>
                <w:p w14:paraId="128BC374">
                  <w:pPr>
                    <w:adjustRightInd w:val="0"/>
                    <w:snapToGrid w:val="0"/>
                    <w:jc w:val="center"/>
                    <w:rPr>
                      <w:color w:val="auto"/>
                      <w:sz w:val="18"/>
                      <w:szCs w:val="18"/>
                    </w:rPr>
                  </w:pPr>
                  <w:r>
                    <w:rPr>
                      <w:color w:val="auto"/>
                      <w:sz w:val="18"/>
                      <w:szCs w:val="18"/>
                    </w:rPr>
                    <w:t>供热</w:t>
                  </w:r>
                </w:p>
              </w:tc>
              <w:tc>
                <w:tcPr>
                  <w:tcW w:w="3071" w:type="pct"/>
                  <w:tcBorders>
                    <w:right w:val="single" w:color="auto" w:sz="4" w:space="0"/>
                  </w:tcBorders>
                  <w:vAlign w:val="center"/>
                </w:tcPr>
                <w:p w14:paraId="296959A6">
                  <w:pPr>
                    <w:adjustRightInd w:val="0"/>
                    <w:snapToGrid w:val="0"/>
                    <w:rPr>
                      <w:color w:val="auto"/>
                      <w:sz w:val="18"/>
                      <w:szCs w:val="18"/>
                    </w:rPr>
                  </w:pPr>
                  <w:r>
                    <w:rPr>
                      <w:rFonts w:hint="eastAsia"/>
                      <w:color w:val="auto"/>
                      <w:sz w:val="18"/>
                      <w:szCs w:val="18"/>
                    </w:rPr>
                    <w:t>冬季不生产，值班人员采暖用热采用电采暖；</w:t>
                  </w:r>
                </w:p>
              </w:tc>
              <w:tc>
                <w:tcPr>
                  <w:tcW w:w="524" w:type="pct"/>
                  <w:tcBorders>
                    <w:left w:val="single" w:color="auto" w:sz="4" w:space="0"/>
                  </w:tcBorders>
                  <w:vAlign w:val="center"/>
                </w:tcPr>
                <w:p w14:paraId="4AE25F6E">
                  <w:pPr>
                    <w:adjustRightInd w:val="0"/>
                    <w:snapToGrid w:val="0"/>
                    <w:jc w:val="center"/>
                    <w:rPr>
                      <w:color w:val="auto"/>
                      <w:sz w:val="18"/>
                      <w:szCs w:val="18"/>
                    </w:rPr>
                  </w:pPr>
                  <w:r>
                    <w:rPr>
                      <w:rFonts w:hint="eastAsia"/>
                      <w:color w:val="auto"/>
                      <w:sz w:val="18"/>
                      <w:szCs w:val="18"/>
                    </w:rPr>
                    <w:t>新建</w:t>
                  </w:r>
                </w:p>
              </w:tc>
            </w:tr>
            <w:tr w14:paraId="08E75C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53" w:type="pct"/>
                  <w:vMerge w:val="restart"/>
                  <w:vAlign w:val="center"/>
                </w:tcPr>
                <w:p w14:paraId="2DB6FC3A">
                  <w:pPr>
                    <w:adjustRightInd w:val="0"/>
                    <w:snapToGrid w:val="0"/>
                    <w:jc w:val="center"/>
                    <w:rPr>
                      <w:color w:val="auto"/>
                      <w:sz w:val="18"/>
                      <w:szCs w:val="18"/>
                    </w:rPr>
                  </w:pPr>
                  <w:r>
                    <w:rPr>
                      <w:color w:val="auto"/>
                      <w:sz w:val="18"/>
                      <w:szCs w:val="18"/>
                    </w:rPr>
                    <w:t>环保工程</w:t>
                  </w:r>
                </w:p>
              </w:tc>
              <w:tc>
                <w:tcPr>
                  <w:tcW w:w="750" w:type="pct"/>
                  <w:vAlign w:val="center"/>
                </w:tcPr>
                <w:p w14:paraId="56EE02B5">
                  <w:pPr>
                    <w:adjustRightInd w:val="0"/>
                    <w:snapToGrid w:val="0"/>
                    <w:jc w:val="center"/>
                    <w:rPr>
                      <w:color w:val="auto"/>
                      <w:sz w:val="18"/>
                      <w:szCs w:val="18"/>
                    </w:rPr>
                  </w:pPr>
                  <w:r>
                    <w:rPr>
                      <w:color w:val="auto"/>
                      <w:sz w:val="18"/>
                      <w:szCs w:val="18"/>
                    </w:rPr>
                    <w:t>废水处理</w:t>
                  </w:r>
                </w:p>
              </w:tc>
              <w:tc>
                <w:tcPr>
                  <w:tcW w:w="3071" w:type="pct"/>
                  <w:tcBorders>
                    <w:right w:val="single" w:color="auto" w:sz="4" w:space="0"/>
                  </w:tcBorders>
                  <w:vAlign w:val="center"/>
                </w:tcPr>
                <w:p w14:paraId="06245BE4">
                  <w:pPr>
                    <w:adjustRightInd w:val="0"/>
                    <w:snapToGrid w:val="0"/>
                    <w:jc w:val="left"/>
                    <w:rPr>
                      <w:color w:val="auto"/>
                      <w:sz w:val="18"/>
                      <w:szCs w:val="18"/>
                      <w:highlight w:val="yellow"/>
                    </w:rPr>
                  </w:pPr>
                  <w:r>
                    <w:rPr>
                      <w:color w:val="auto"/>
                      <w:sz w:val="18"/>
                      <w:szCs w:val="18"/>
                    </w:rPr>
                    <w:t>项目生活污水排入防渗旱厕，定期清掏作农肥；降尘用水全部蒸发；洗砂废水经</w:t>
                  </w:r>
                  <w:r>
                    <w:rPr>
                      <w:rFonts w:hint="eastAsia"/>
                      <w:color w:val="auto"/>
                      <w:sz w:val="18"/>
                      <w:szCs w:val="18"/>
                    </w:rPr>
                    <w:t>水罐</w:t>
                  </w:r>
                  <w:r>
                    <w:rPr>
                      <w:color w:val="auto"/>
                      <w:sz w:val="18"/>
                      <w:szCs w:val="18"/>
                    </w:rPr>
                    <w:t>沉淀后回用于生产，不外排</w:t>
                  </w:r>
                  <w:r>
                    <w:rPr>
                      <w:rFonts w:hint="eastAsia"/>
                      <w:color w:val="auto"/>
                      <w:sz w:val="18"/>
                      <w:szCs w:val="18"/>
                    </w:rPr>
                    <w:t>；</w:t>
                  </w:r>
                </w:p>
              </w:tc>
              <w:tc>
                <w:tcPr>
                  <w:tcW w:w="524" w:type="pct"/>
                  <w:tcBorders>
                    <w:left w:val="single" w:color="auto" w:sz="4" w:space="0"/>
                  </w:tcBorders>
                  <w:vAlign w:val="center"/>
                </w:tcPr>
                <w:p w14:paraId="1DA5B6D7">
                  <w:pPr>
                    <w:adjustRightInd w:val="0"/>
                    <w:snapToGrid w:val="0"/>
                    <w:jc w:val="center"/>
                    <w:rPr>
                      <w:color w:val="auto"/>
                      <w:sz w:val="18"/>
                      <w:szCs w:val="18"/>
                    </w:rPr>
                  </w:pPr>
                  <w:r>
                    <w:rPr>
                      <w:rFonts w:hint="eastAsia"/>
                      <w:color w:val="auto"/>
                      <w:sz w:val="18"/>
                      <w:szCs w:val="18"/>
                    </w:rPr>
                    <w:t>新建</w:t>
                  </w:r>
                </w:p>
              </w:tc>
            </w:tr>
            <w:tr w14:paraId="3D6D1AE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53" w:type="pct"/>
                  <w:vMerge w:val="continue"/>
                  <w:vAlign w:val="center"/>
                </w:tcPr>
                <w:p w14:paraId="66853287">
                  <w:pPr>
                    <w:adjustRightInd w:val="0"/>
                    <w:snapToGrid w:val="0"/>
                    <w:jc w:val="center"/>
                    <w:rPr>
                      <w:color w:val="auto"/>
                      <w:sz w:val="18"/>
                      <w:szCs w:val="18"/>
                    </w:rPr>
                  </w:pPr>
                </w:p>
              </w:tc>
              <w:tc>
                <w:tcPr>
                  <w:tcW w:w="750" w:type="pct"/>
                  <w:vAlign w:val="center"/>
                </w:tcPr>
                <w:p w14:paraId="457D93EB">
                  <w:pPr>
                    <w:adjustRightInd w:val="0"/>
                    <w:snapToGrid w:val="0"/>
                    <w:jc w:val="center"/>
                    <w:rPr>
                      <w:color w:val="auto"/>
                      <w:sz w:val="18"/>
                      <w:szCs w:val="18"/>
                    </w:rPr>
                  </w:pPr>
                  <w:r>
                    <w:rPr>
                      <w:color w:val="auto"/>
                      <w:sz w:val="18"/>
                      <w:szCs w:val="18"/>
                    </w:rPr>
                    <w:t>噪声处理</w:t>
                  </w:r>
                </w:p>
              </w:tc>
              <w:tc>
                <w:tcPr>
                  <w:tcW w:w="3071" w:type="pct"/>
                  <w:tcBorders>
                    <w:right w:val="single" w:color="auto" w:sz="4" w:space="0"/>
                  </w:tcBorders>
                  <w:vAlign w:val="center"/>
                </w:tcPr>
                <w:p w14:paraId="562578C5">
                  <w:pPr>
                    <w:adjustRightInd w:val="0"/>
                    <w:snapToGrid w:val="0"/>
                    <w:rPr>
                      <w:color w:val="auto"/>
                      <w:sz w:val="18"/>
                      <w:szCs w:val="18"/>
                    </w:rPr>
                  </w:pPr>
                  <w:r>
                    <w:rPr>
                      <w:color w:val="auto"/>
                      <w:sz w:val="18"/>
                      <w:szCs w:val="18"/>
                    </w:rPr>
                    <w:t>选用低噪</w:t>
                  </w:r>
                  <w:r>
                    <w:rPr>
                      <w:rFonts w:hint="eastAsia"/>
                      <w:color w:val="auto"/>
                      <w:sz w:val="18"/>
                      <w:szCs w:val="18"/>
                    </w:rPr>
                    <w:t>设备</w:t>
                  </w:r>
                  <w:r>
                    <w:rPr>
                      <w:color w:val="auto"/>
                      <w:sz w:val="18"/>
                      <w:szCs w:val="18"/>
                    </w:rPr>
                    <w:t>，建筑隔声、基础减振等措施</w:t>
                  </w:r>
                  <w:r>
                    <w:rPr>
                      <w:rFonts w:hint="eastAsia"/>
                      <w:color w:val="auto"/>
                      <w:sz w:val="18"/>
                      <w:szCs w:val="18"/>
                    </w:rPr>
                    <w:t>；</w:t>
                  </w:r>
                </w:p>
              </w:tc>
              <w:tc>
                <w:tcPr>
                  <w:tcW w:w="524" w:type="pct"/>
                  <w:tcBorders>
                    <w:left w:val="single" w:color="auto" w:sz="4" w:space="0"/>
                  </w:tcBorders>
                  <w:vAlign w:val="center"/>
                </w:tcPr>
                <w:p w14:paraId="7013FC67">
                  <w:pPr>
                    <w:adjustRightInd w:val="0"/>
                    <w:snapToGrid w:val="0"/>
                    <w:jc w:val="center"/>
                    <w:rPr>
                      <w:color w:val="auto"/>
                      <w:sz w:val="18"/>
                      <w:szCs w:val="18"/>
                    </w:rPr>
                  </w:pPr>
                  <w:r>
                    <w:rPr>
                      <w:rFonts w:hint="eastAsia"/>
                      <w:color w:val="auto"/>
                      <w:sz w:val="18"/>
                      <w:szCs w:val="18"/>
                    </w:rPr>
                    <w:t>新建</w:t>
                  </w:r>
                </w:p>
              </w:tc>
            </w:tr>
            <w:tr w14:paraId="59FB13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7" w:hRule="atLeast"/>
                <w:jc w:val="center"/>
              </w:trPr>
              <w:tc>
                <w:tcPr>
                  <w:tcW w:w="653" w:type="pct"/>
                  <w:vMerge w:val="continue"/>
                  <w:vAlign w:val="center"/>
                </w:tcPr>
                <w:p w14:paraId="38A2F7B1">
                  <w:pPr>
                    <w:adjustRightInd w:val="0"/>
                    <w:snapToGrid w:val="0"/>
                    <w:jc w:val="center"/>
                    <w:rPr>
                      <w:color w:val="auto"/>
                      <w:sz w:val="18"/>
                      <w:szCs w:val="18"/>
                    </w:rPr>
                  </w:pPr>
                </w:p>
              </w:tc>
              <w:tc>
                <w:tcPr>
                  <w:tcW w:w="750" w:type="pct"/>
                  <w:vAlign w:val="center"/>
                </w:tcPr>
                <w:p w14:paraId="0E7073DB">
                  <w:pPr>
                    <w:adjustRightInd w:val="0"/>
                    <w:snapToGrid w:val="0"/>
                    <w:jc w:val="center"/>
                    <w:rPr>
                      <w:i/>
                      <w:iCs/>
                      <w:color w:val="auto"/>
                      <w:sz w:val="18"/>
                      <w:szCs w:val="18"/>
                      <w:highlight w:val="yellow"/>
                      <w:u w:val="single"/>
                    </w:rPr>
                  </w:pPr>
                  <w:r>
                    <w:rPr>
                      <w:i/>
                      <w:iCs/>
                      <w:color w:val="auto"/>
                      <w:sz w:val="18"/>
                      <w:szCs w:val="18"/>
                      <w:u w:val="single"/>
                    </w:rPr>
                    <w:t>废气处理</w:t>
                  </w:r>
                </w:p>
              </w:tc>
              <w:tc>
                <w:tcPr>
                  <w:tcW w:w="3071" w:type="pct"/>
                  <w:tcBorders>
                    <w:right w:val="single" w:color="auto" w:sz="4" w:space="0"/>
                  </w:tcBorders>
                  <w:vAlign w:val="center"/>
                </w:tcPr>
                <w:p w14:paraId="4C74A167">
                  <w:pPr>
                    <w:adjustRightInd w:val="0"/>
                    <w:snapToGrid w:val="0"/>
                    <w:rPr>
                      <w:i/>
                      <w:iCs/>
                      <w:color w:val="auto"/>
                      <w:sz w:val="18"/>
                      <w:szCs w:val="18"/>
                      <w:u w:val="single"/>
                    </w:rPr>
                  </w:pPr>
                  <w:r>
                    <w:rPr>
                      <w:i/>
                      <w:iCs/>
                      <w:color w:val="auto"/>
                      <w:sz w:val="18"/>
                      <w:szCs w:val="18"/>
                      <w:u w:val="single"/>
                    </w:rPr>
                    <w:t>堆场扬尘：堆场地面硬化，</w:t>
                  </w:r>
                  <w:r>
                    <w:rPr>
                      <w:rFonts w:hint="eastAsia"/>
                      <w:i/>
                      <w:iCs/>
                      <w:color w:val="auto"/>
                      <w:sz w:val="18"/>
                      <w:szCs w:val="18"/>
                      <w:u w:val="single"/>
                    </w:rPr>
                    <w:t>堆场</w:t>
                  </w:r>
                  <w:r>
                    <w:rPr>
                      <w:i/>
                      <w:iCs/>
                      <w:color w:val="auto"/>
                      <w:sz w:val="18"/>
                      <w:szCs w:val="18"/>
                      <w:u w:val="single"/>
                    </w:rPr>
                    <w:t>苫布覆盖，定期进行洒水降尘。</w:t>
                  </w:r>
                </w:p>
                <w:p w14:paraId="51FF6B22">
                  <w:pPr>
                    <w:adjustRightInd w:val="0"/>
                    <w:snapToGrid w:val="0"/>
                    <w:rPr>
                      <w:i/>
                      <w:iCs/>
                      <w:color w:val="auto"/>
                      <w:sz w:val="18"/>
                      <w:szCs w:val="18"/>
                      <w:u w:val="single"/>
                    </w:rPr>
                  </w:pPr>
                  <w:r>
                    <w:rPr>
                      <w:i/>
                      <w:iCs/>
                      <w:color w:val="auto"/>
                      <w:sz w:val="18"/>
                      <w:szCs w:val="18"/>
                      <w:u w:val="single"/>
                    </w:rPr>
                    <w:t>装卸扬尘：装卸过程中，采用喷淋措施减小装卸过程中的扬尘</w:t>
                  </w:r>
                  <w:r>
                    <w:rPr>
                      <w:rFonts w:hint="eastAsia"/>
                      <w:i/>
                      <w:iCs/>
                      <w:color w:val="auto"/>
                      <w:sz w:val="18"/>
                      <w:szCs w:val="18"/>
                      <w:u w:val="single"/>
                    </w:rPr>
                    <w:t>；原料/成品采用专用运输卡车，严禁敞篷运输，设置篷布遮盖并罩上防尘网，降低车速，减少运输过程中产生的粉尘，并防止物料掉落。</w:t>
                  </w:r>
                </w:p>
                <w:p w14:paraId="1C1594FA">
                  <w:pPr>
                    <w:adjustRightInd w:val="0"/>
                    <w:snapToGrid w:val="0"/>
                    <w:rPr>
                      <w:i/>
                      <w:iCs/>
                      <w:color w:val="auto"/>
                      <w:sz w:val="18"/>
                      <w:szCs w:val="18"/>
                      <w:u w:val="single"/>
                    </w:rPr>
                  </w:pPr>
                  <w:r>
                    <w:rPr>
                      <w:i/>
                      <w:iCs/>
                      <w:color w:val="auto"/>
                      <w:sz w:val="18"/>
                      <w:szCs w:val="18"/>
                      <w:u w:val="single"/>
                    </w:rPr>
                    <w:t>运输扬尘：厂区地面硬化、加强厂区地面清洁及定期洒水降尘。</w:t>
                  </w:r>
                </w:p>
                <w:p w14:paraId="7F43F735">
                  <w:pPr>
                    <w:adjustRightInd w:val="0"/>
                    <w:snapToGrid w:val="0"/>
                    <w:rPr>
                      <w:i/>
                      <w:iCs/>
                      <w:color w:val="auto"/>
                      <w:sz w:val="18"/>
                      <w:szCs w:val="18"/>
                      <w:u w:val="single"/>
                    </w:rPr>
                  </w:pPr>
                  <w:r>
                    <w:rPr>
                      <w:i/>
                      <w:iCs/>
                      <w:color w:val="auto"/>
                      <w:sz w:val="18"/>
                      <w:szCs w:val="18"/>
                      <w:u w:val="single"/>
                    </w:rPr>
                    <w:t>输送粉尘：原料及产品采取传送带</w:t>
                  </w:r>
                  <w:r>
                    <w:rPr>
                      <w:rFonts w:hint="eastAsia"/>
                      <w:i/>
                      <w:iCs/>
                      <w:color w:val="auto"/>
                      <w:sz w:val="18"/>
                      <w:szCs w:val="18"/>
                      <w:u w:val="single"/>
                    </w:rPr>
                    <w:t>密闭</w:t>
                  </w:r>
                  <w:r>
                    <w:rPr>
                      <w:i/>
                      <w:iCs/>
                      <w:color w:val="auto"/>
                      <w:sz w:val="18"/>
                      <w:szCs w:val="18"/>
                      <w:u w:val="single"/>
                    </w:rPr>
                    <w:t>输送，并在传送带卸料口处安装水雾喷淋装置。</w:t>
                  </w:r>
                </w:p>
                <w:p w14:paraId="1A946612">
                  <w:pPr>
                    <w:adjustRightInd w:val="0"/>
                    <w:snapToGrid w:val="0"/>
                    <w:rPr>
                      <w:i/>
                      <w:iCs/>
                      <w:color w:val="auto"/>
                      <w:sz w:val="18"/>
                      <w:szCs w:val="18"/>
                      <w:u w:val="single"/>
                    </w:rPr>
                  </w:pPr>
                  <w:r>
                    <w:rPr>
                      <w:i/>
                      <w:iCs/>
                      <w:color w:val="auto"/>
                      <w:sz w:val="18"/>
                      <w:szCs w:val="18"/>
                      <w:u w:val="single"/>
                    </w:rPr>
                    <w:t>上料粉尘：在上料口安装水雾喷淋装置。</w:t>
                  </w:r>
                </w:p>
                <w:p w14:paraId="297FD427">
                  <w:pPr>
                    <w:adjustRightInd w:val="0"/>
                    <w:snapToGrid w:val="0"/>
                    <w:rPr>
                      <w:i/>
                      <w:iCs/>
                      <w:color w:val="auto"/>
                      <w:sz w:val="18"/>
                      <w:szCs w:val="18"/>
                      <w:highlight w:val="yellow"/>
                      <w:u w:val="single"/>
                    </w:rPr>
                  </w:pPr>
                  <w:r>
                    <w:rPr>
                      <w:rFonts w:hint="eastAsia"/>
                      <w:i/>
                      <w:iCs/>
                      <w:color w:val="auto"/>
                      <w:sz w:val="18"/>
                      <w:szCs w:val="18"/>
                      <w:u w:val="single"/>
                    </w:rPr>
                    <w:t>破碎粉尘：采用密闭破碎设备，采用布袋除尘器进行除尘，废气经1根15m高排气筒排放（DA001）。</w:t>
                  </w:r>
                </w:p>
              </w:tc>
              <w:tc>
                <w:tcPr>
                  <w:tcW w:w="524" w:type="pct"/>
                  <w:tcBorders>
                    <w:left w:val="single" w:color="auto" w:sz="4" w:space="0"/>
                  </w:tcBorders>
                  <w:vAlign w:val="center"/>
                </w:tcPr>
                <w:p w14:paraId="521BA3A3">
                  <w:pPr>
                    <w:autoSpaceDE w:val="0"/>
                    <w:autoSpaceDN w:val="0"/>
                    <w:adjustRightInd w:val="0"/>
                    <w:snapToGrid w:val="0"/>
                    <w:jc w:val="center"/>
                    <w:rPr>
                      <w:color w:val="auto"/>
                      <w:sz w:val="18"/>
                      <w:szCs w:val="18"/>
                    </w:rPr>
                  </w:pPr>
                  <w:r>
                    <w:rPr>
                      <w:rFonts w:hint="eastAsia"/>
                      <w:color w:val="auto"/>
                      <w:sz w:val="18"/>
                      <w:szCs w:val="18"/>
                    </w:rPr>
                    <w:t>新建</w:t>
                  </w:r>
                </w:p>
              </w:tc>
            </w:tr>
            <w:tr w14:paraId="7BA5C8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653" w:type="pct"/>
                  <w:vMerge w:val="continue"/>
                  <w:vAlign w:val="center"/>
                </w:tcPr>
                <w:p w14:paraId="5B68759B">
                  <w:pPr>
                    <w:adjustRightInd w:val="0"/>
                    <w:snapToGrid w:val="0"/>
                    <w:jc w:val="center"/>
                    <w:rPr>
                      <w:color w:val="auto"/>
                      <w:sz w:val="18"/>
                      <w:szCs w:val="18"/>
                    </w:rPr>
                  </w:pPr>
                </w:p>
              </w:tc>
              <w:tc>
                <w:tcPr>
                  <w:tcW w:w="750" w:type="pct"/>
                  <w:vAlign w:val="center"/>
                </w:tcPr>
                <w:p w14:paraId="2B21E28A">
                  <w:pPr>
                    <w:adjustRightInd w:val="0"/>
                    <w:snapToGrid w:val="0"/>
                    <w:jc w:val="center"/>
                    <w:rPr>
                      <w:i/>
                      <w:iCs/>
                      <w:color w:val="auto"/>
                      <w:sz w:val="18"/>
                      <w:szCs w:val="18"/>
                      <w:u w:val="single"/>
                    </w:rPr>
                  </w:pPr>
                  <w:r>
                    <w:rPr>
                      <w:i/>
                      <w:iCs/>
                      <w:color w:val="auto"/>
                      <w:sz w:val="18"/>
                      <w:szCs w:val="18"/>
                      <w:u w:val="single"/>
                    </w:rPr>
                    <w:t>固废</w:t>
                  </w:r>
                </w:p>
              </w:tc>
              <w:tc>
                <w:tcPr>
                  <w:tcW w:w="3071" w:type="pct"/>
                  <w:tcBorders>
                    <w:right w:val="single" w:color="auto" w:sz="4" w:space="0"/>
                  </w:tcBorders>
                  <w:vAlign w:val="center"/>
                </w:tcPr>
                <w:p w14:paraId="4C3DE543">
                  <w:pPr>
                    <w:adjustRightInd w:val="0"/>
                    <w:snapToGrid w:val="0"/>
                    <w:rPr>
                      <w:i/>
                      <w:iCs/>
                      <w:color w:val="auto"/>
                      <w:sz w:val="18"/>
                      <w:szCs w:val="18"/>
                      <w:highlight w:val="yellow"/>
                      <w:u w:val="single"/>
                    </w:rPr>
                  </w:pPr>
                  <w:r>
                    <w:rPr>
                      <w:i/>
                      <w:iCs/>
                      <w:color w:val="auto"/>
                      <w:sz w:val="18"/>
                      <w:szCs w:val="18"/>
                      <w:u w:val="single"/>
                    </w:rPr>
                    <w:t>生活垃圾由环卫部门定期清运处理，</w:t>
                  </w:r>
                  <w:r>
                    <w:rPr>
                      <w:rFonts w:hint="eastAsia"/>
                      <w:i/>
                      <w:iCs/>
                      <w:color w:val="auto"/>
                      <w:sz w:val="18"/>
                      <w:szCs w:val="18"/>
                      <w:u w:val="single"/>
                    </w:rPr>
                    <w:t>除尘灰、</w:t>
                  </w:r>
                  <w:r>
                    <w:rPr>
                      <w:i/>
                      <w:iCs/>
                      <w:color w:val="auto"/>
                      <w:sz w:val="18"/>
                      <w:szCs w:val="18"/>
                      <w:u w:val="single"/>
                    </w:rPr>
                    <w:t>沉淀物</w:t>
                  </w:r>
                  <w:r>
                    <w:rPr>
                      <w:rFonts w:hint="eastAsia"/>
                      <w:i/>
                      <w:iCs/>
                      <w:color w:val="auto"/>
                      <w:sz w:val="18"/>
                      <w:szCs w:val="18"/>
                      <w:u w:val="single"/>
                    </w:rPr>
                    <w:t>压滤后作为建筑材料</w:t>
                  </w:r>
                  <w:r>
                    <w:rPr>
                      <w:i/>
                      <w:iCs/>
                      <w:color w:val="auto"/>
                      <w:sz w:val="18"/>
                      <w:szCs w:val="18"/>
                      <w:u w:val="single"/>
                    </w:rPr>
                    <w:t>。</w:t>
                  </w:r>
                </w:p>
              </w:tc>
              <w:tc>
                <w:tcPr>
                  <w:tcW w:w="524" w:type="pct"/>
                  <w:tcBorders>
                    <w:left w:val="single" w:color="auto" w:sz="4" w:space="0"/>
                  </w:tcBorders>
                  <w:vAlign w:val="center"/>
                </w:tcPr>
                <w:p w14:paraId="4473E506">
                  <w:pPr>
                    <w:adjustRightInd w:val="0"/>
                    <w:snapToGrid w:val="0"/>
                    <w:jc w:val="center"/>
                    <w:rPr>
                      <w:color w:val="auto"/>
                      <w:sz w:val="18"/>
                      <w:szCs w:val="18"/>
                    </w:rPr>
                  </w:pPr>
                  <w:r>
                    <w:rPr>
                      <w:rFonts w:hint="eastAsia"/>
                      <w:color w:val="auto"/>
                      <w:sz w:val="18"/>
                      <w:szCs w:val="18"/>
                    </w:rPr>
                    <w:t>新建</w:t>
                  </w:r>
                </w:p>
              </w:tc>
            </w:tr>
          </w:tbl>
          <w:p w14:paraId="4BA8A937">
            <w:pPr>
              <w:adjustRightInd w:val="0"/>
              <w:snapToGrid w:val="0"/>
              <w:spacing w:line="336" w:lineRule="auto"/>
              <w:jc w:val="left"/>
              <w:rPr>
                <w:rFonts w:hAnsi="宋体"/>
                <w:bCs/>
                <w:color w:val="auto"/>
                <w:sz w:val="10"/>
                <w:szCs w:val="10"/>
              </w:rPr>
            </w:pPr>
          </w:p>
          <w:p w14:paraId="743099CD">
            <w:pPr>
              <w:adjustRightInd w:val="0"/>
              <w:snapToGrid w:val="0"/>
              <w:spacing w:line="360" w:lineRule="auto"/>
              <w:rPr>
                <w:rFonts w:hAnsi="宋体" w:cs="宋体"/>
                <w:color w:val="auto"/>
              </w:rPr>
            </w:pPr>
            <w:r>
              <w:rPr>
                <w:rFonts w:hint="eastAsia" w:hAnsi="宋体" w:cs="宋体"/>
                <w:color w:val="auto"/>
              </w:rPr>
              <w:t>3.2产品方案</w:t>
            </w:r>
          </w:p>
          <w:p w14:paraId="5061FEC8">
            <w:pPr>
              <w:adjustRightInd w:val="0"/>
              <w:snapToGrid w:val="0"/>
              <w:spacing w:line="336" w:lineRule="auto"/>
              <w:ind w:firstLine="420" w:firstLineChars="200"/>
              <w:jc w:val="left"/>
              <w:rPr>
                <w:color w:val="auto"/>
              </w:rPr>
            </w:pPr>
            <w:r>
              <w:rPr>
                <w:rFonts w:hint="eastAsia"/>
                <w:color w:val="auto"/>
              </w:rPr>
              <w:t>项目建成投产后，年产机制砂4万m</w:t>
            </w:r>
            <w:r>
              <w:rPr>
                <w:rFonts w:hint="eastAsia"/>
                <w:color w:val="auto"/>
                <w:vertAlign w:val="superscript"/>
              </w:rPr>
              <w:t>3</w:t>
            </w:r>
            <w:r>
              <w:rPr>
                <w:rFonts w:hint="eastAsia"/>
                <w:color w:val="auto"/>
              </w:rPr>
              <w:t>（约合6.4万吨），粒径＜4.75mm，符合《建筑用砂》（GB/T 14684-2022）要求。</w:t>
            </w:r>
          </w:p>
          <w:p w14:paraId="0B0E2C31">
            <w:pPr>
              <w:adjustRightInd w:val="0"/>
              <w:snapToGrid w:val="0"/>
              <w:spacing w:line="312" w:lineRule="auto"/>
              <w:jc w:val="left"/>
              <w:rPr>
                <w:rFonts w:hAnsi="宋体"/>
                <w:bCs/>
                <w:color w:val="auto"/>
              </w:rPr>
            </w:pPr>
            <w:r>
              <w:rPr>
                <w:rFonts w:hint="eastAsia" w:hAnsi="宋体"/>
                <w:bCs/>
                <w:color w:val="auto"/>
              </w:rPr>
              <w:t>3.3主要生产设备</w:t>
            </w:r>
          </w:p>
          <w:p w14:paraId="27130DF3">
            <w:pPr>
              <w:adjustRightInd w:val="0"/>
              <w:snapToGrid w:val="0"/>
              <w:spacing w:line="360" w:lineRule="auto"/>
              <w:ind w:firstLine="420" w:firstLineChars="200"/>
              <w:rPr>
                <w:color w:val="auto"/>
              </w:rPr>
            </w:pPr>
            <w:r>
              <w:rPr>
                <w:color w:val="auto"/>
              </w:rPr>
              <w:t>本项目</w:t>
            </w:r>
            <w:r>
              <w:rPr>
                <w:rFonts w:hint="eastAsia"/>
                <w:color w:val="auto"/>
              </w:rPr>
              <w:t>主要生产设备为颚式破碎机、锤式破碎机、上料机、滚笼筛等，生产设备</w:t>
            </w:r>
            <w:r>
              <w:rPr>
                <w:color w:val="auto"/>
              </w:rPr>
              <w:t>详见</w:t>
            </w:r>
            <w:r>
              <w:rPr>
                <w:rFonts w:hint="eastAsia"/>
                <w:color w:val="auto"/>
              </w:rPr>
              <w:t>下</w:t>
            </w:r>
            <w:r>
              <w:rPr>
                <w:color w:val="auto"/>
              </w:rPr>
              <w:t>表。</w:t>
            </w:r>
          </w:p>
          <w:p w14:paraId="13EAAE57">
            <w:pPr>
              <w:autoSpaceDE w:val="0"/>
              <w:autoSpaceDN w:val="0"/>
              <w:adjustRightInd w:val="0"/>
              <w:snapToGrid w:val="0"/>
              <w:ind w:firstLine="420" w:firstLineChars="200"/>
              <w:jc w:val="center"/>
              <w:rPr>
                <w:bCs/>
                <w:color w:val="auto"/>
              </w:rPr>
            </w:pPr>
            <w:r>
              <w:rPr>
                <w:bCs/>
                <w:color w:val="auto"/>
              </w:rPr>
              <w:t>项目主要生产设备一览表</w:t>
            </w:r>
          </w:p>
          <w:tbl>
            <w:tblPr>
              <w:tblStyle w:val="44"/>
              <w:tblW w:w="4999"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531"/>
              <w:gridCol w:w="2225"/>
              <w:gridCol w:w="1556"/>
              <w:gridCol w:w="4106"/>
            </w:tblGrid>
            <w:tr w14:paraId="4FCC3AB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315" w:type="pct"/>
                  <w:vAlign w:val="center"/>
                </w:tcPr>
                <w:p w14:paraId="15DC7D9C">
                  <w:pPr>
                    <w:autoSpaceDE w:val="0"/>
                    <w:autoSpaceDN w:val="0"/>
                    <w:adjustRightInd w:val="0"/>
                    <w:snapToGrid w:val="0"/>
                    <w:jc w:val="center"/>
                    <w:rPr>
                      <w:rFonts w:eastAsiaTheme="minorEastAsia"/>
                      <w:color w:val="auto"/>
                      <w:sz w:val="18"/>
                      <w:szCs w:val="18"/>
                      <w:lang w:eastAsia="en-US"/>
                    </w:rPr>
                  </w:pPr>
                  <w:r>
                    <w:rPr>
                      <w:rFonts w:eastAsiaTheme="minorEastAsia"/>
                      <w:color w:val="auto"/>
                      <w:sz w:val="18"/>
                      <w:szCs w:val="18"/>
                      <w:lang w:eastAsia="en-US"/>
                    </w:rPr>
                    <w:t>序号</w:t>
                  </w:r>
                </w:p>
              </w:tc>
              <w:tc>
                <w:tcPr>
                  <w:tcW w:w="1321" w:type="pct"/>
                  <w:vAlign w:val="center"/>
                </w:tcPr>
                <w:p w14:paraId="18108E9C">
                  <w:pPr>
                    <w:autoSpaceDE w:val="0"/>
                    <w:autoSpaceDN w:val="0"/>
                    <w:adjustRightInd w:val="0"/>
                    <w:snapToGrid w:val="0"/>
                    <w:jc w:val="center"/>
                    <w:rPr>
                      <w:rFonts w:eastAsiaTheme="minorEastAsia"/>
                      <w:color w:val="auto"/>
                      <w:sz w:val="18"/>
                      <w:szCs w:val="18"/>
                      <w:lang w:eastAsia="en-US"/>
                    </w:rPr>
                  </w:pPr>
                  <w:r>
                    <w:rPr>
                      <w:rFonts w:eastAsiaTheme="minorEastAsia"/>
                      <w:color w:val="auto"/>
                      <w:sz w:val="18"/>
                      <w:szCs w:val="18"/>
                      <w:lang w:eastAsia="en-US"/>
                    </w:rPr>
                    <w:t>设备名称</w:t>
                  </w:r>
                </w:p>
              </w:tc>
              <w:tc>
                <w:tcPr>
                  <w:tcW w:w="924" w:type="pct"/>
                  <w:vAlign w:val="center"/>
                </w:tcPr>
                <w:p w14:paraId="72B5F270">
                  <w:pPr>
                    <w:autoSpaceDE w:val="0"/>
                    <w:autoSpaceDN w:val="0"/>
                    <w:adjustRightInd w:val="0"/>
                    <w:snapToGrid w:val="0"/>
                    <w:jc w:val="center"/>
                    <w:rPr>
                      <w:rFonts w:eastAsiaTheme="minorEastAsia"/>
                      <w:color w:val="auto"/>
                      <w:sz w:val="18"/>
                      <w:szCs w:val="18"/>
                      <w:lang w:eastAsia="en-US"/>
                    </w:rPr>
                  </w:pPr>
                  <w:r>
                    <w:rPr>
                      <w:rFonts w:eastAsiaTheme="minorEastAsia"/>
                      <w:color w:val="auto"/>
                      <w:sz w:val="18"/>
                      <w:szCs w:val="18"/>
                      <w:lang w:eastAsia="en-US"/>
                    </w:rPr>
                    <w:t>数量</w:t>
                  </w:r>
                  <w:r>
                    <w:rPr>
                      <w:rFonts w:hint="eastAsia" w:eastAsiaTheme="minorEastAsia"/>
                      <w:color w:val="auto"/>
                      <w:sz w:val="18"/>
                      <w:szCs w:val="18"/>
                      <w:lang w:eastAsia="en-US"/>
                    </w:rPr>
                    <w:t>（台/套）</w:t>
                  </w:r>
                </w:p>
              </w:tc>
              <w:tc>
                <w:tcPr>
                  <w:tcW w:w="2438" w:type="pct"/>
                  <w:vAlign w:val="center"/>
                </w:tcPr>
                <w:p w14:paraId="149B4B3B">
                  <w:pPr>
                    <w:autoSpaceDE w:val="0"/>
                    <w:autoSpaceDN w:val="0"/>
                    <w:adjustRightInd w:val="0"/>
                    <w:snapToGrid w:val="0"/>
                    <w:jc w:val="center"/>
                    <w:rPr>
                      <w:rFonts w:eastAsiaTheme="minorEastAsia"/>
                      <w:color w:val="auto"/>
                      <w:sz w:val="18"/>
                      <w:szCs w:val="18"/>
                      <w:lang w:eastAsia="en-US"/>
                    </w:rPr>
                  </w:pPr>
                  <w:r>
                    <w:rPr>
                      <w:rFonts w:eastAsiaTheme="minorEastAsia"/>
                      <w:color w:val="auto"/>
                      <w:sz w:val="18"/>
                      <w:szCs w:val="18"/>
                      <w:lang w:eastAsia="en-US"/>
                    </w:rPr>
                    <w:t>备</w:t>
                  </w:r>
                  <w:r>
                    <w:rPr>
                      <w:rFonts w:eastAsiaTheme="minorEastAsia"/>
                      <w:color w:val="auto"/>
                      <w:sz w:val="18"/>
                      <w:szCs w:val="18"/>
                      <w:lang w:eastAsia="en-US"/>
                    </w:rPr>
                    <w:tab/>
                  </w:r>
                  <w:r>
                    <w:rPr>
                      <w:rFonts w:eastAsiaTheme="minorEastAsia"/>
                      <w:color w:val="auto"/>
                      <w:sz w:val="18"/>
                      <w:szCs w:val="18"/>
                      <w:lang w:eastAsia="en-US"/>
                    </w:rPr>
                    <w:t>注</w:t>
                  </w:r>
                </w:p>
              </w:tc>
            </w:tr>
            <w:tr w14:paraId="719F7AA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315" w:type="pct"/>
                  <w:tcBorders>
                    <w:right w:val="single" w:color="auto" w:sz="4" w:space="0"/>
                  </w:tcBorders>
                  <w:vAlign w:val="center"/>
                </w:tcPr>
                <w:p w14:paraId="3EE66C1D">
                  <w:pPr>
                    <w:autoSpaceDE w:val="0"/>
                    <w:autoSpaceDN w:val="0"/>
                    <w:adjustRightInd w:val="0"/>
                    <w:snapToGrid w:val="0"/>
                    <w:jc w:val="center"/>
                    <w:rPr>
                      <w:rFonts w:eastAsiaTheme="minorEastAsia"/>
                      <w:color w:val="auto"/>
                      <w:sz w:val="18"/>
                      <w:szCs w:val="18"/>
                      <w:lang w:eastAsia="en-US"/>
                    </w:rPr>
                  </w:pPr>
                  <w:r>
                    <w:rPr>
                      <w:rFonts w:eastAsiaTheme="minorEastAsia"/>
                      <w:color w:val="auto"/>
                      <w:sz w:val="18"/>
                      <w:szCs w:val="18"/>
                      <w:lang w:eastAsia="en-US"/>
                    </w:rPr>
                    <w:t>1</w:t>
                  </w:r>
                </w:p>
              </w:tc>
              <w:tc>
                <w:tcPr>
                  <w:tcW w:w="1321" w:type="pct"/>
                  <w:tcBorders>
                    <w:left w:val="single" w:color="auto" w:sz="4" w:space="0"/>
                  </w:tcBorders>
                  <w:vAlign w:val="center"/>
                </w:tcPr>
                <w:p w14:paraId="0D3F85A8">
                  <w:pPr>
                    <w:autoSpaceDE w:val="0"/>
                    <w:autoSpaceDN w:val="0"/>
                    <w:adjustRightInd w:val="0"/>
                    <w:snapToGrid w:val="0"/>
                    <w:jc w:val="center"/>
                    <w:rPr>
                      <w:rFonts w:eastAsiaTheme="minorEastAsia"/>
                      <w:color w:val="auto"/>
                      <w:sz w:val="18"/>
                      <w:szCs w:val="18"/>
                      <w:lang w:eastAsia="en-US"/>
                    </w:rPr>
                  </w:pPr>
                  <w:r>
                    <w:rPr>
                      <w:rFonts w:hint="eastAsia" w:eastAsiaTheme="minorEastAsia"/>
                      <w:color w:val="auto"/>
                      <w:sz w:val="18"/>
                      <w:szCs w:val="18"/>
                      <w:lang w:eastAsia="en-US"/>
                    </w:rPr>
                    <w:t>颚式破碎机</w:t>
                  </w:r>
                </w:p>
              </w:tc>
              <w:tc>
                <w:tcPr>
                  <w:tcW w:w="924" w:type="pct"/>
                  <w:vAlign w:val="center"/>
                </w:tcPr>
                <w:p w14:paraId="478E4441">
                  <w:pPr>
                    <w:autoSpaceDE w:val="0"/>
                    <w:autoSpaceDN w:val="0"/>
                    <w:adjustRightInd w:val="0"/>
                    <w:snapToGrid w:val="0"/>
                    <w:jc w:val="center"/>
                    <w:rPr>
                      <w:rFonts w:eastAsiaTheme="minorEastAsia"/>
                      <w:color w:val="auto"/>
                      <w:sz w:val="18"/>
                      <w:szCs w:val="18"/>
                      <w:lang w:eastAsia="en-US"/>
                    </w:rPr>
                  </w:pPr>
                  <w:r>
                    <w:rPr>
                      <w:rFonts w:hint="eastAsia" w:eastAsiaTheme="minorEastAsia"/>
                      <w:color w:val="auto"/>
                      <w:sz w:val="18"/>
                      <w:szCs w:val="18"/>
                      <w:lang w:eastAsia="en-US"/>
                    </w:rPr>
                    <w:t>1</w:t>
                  </w:r>
                </w:p>
              </w:tc>
              <w:tc>
                <w:tcPr>
                  <w:tcW w:w="2438" w:type="pct"/>
                  <w:vAlign w:val="center"/>
                </w:tcPr>
                <w:p w14:paraId="29E8EC4F">
                  <w:pPr>
                    <w:autoSpaceDE w:val="0"/>
                    <w:autoSpaceDN w:val="0"/>
                    <w:adjustRightInd w:val="0"/>
                    <w:snapToGrid w:val="0"/>
                    <w:jc w:val="center"/>
                    <w:rPr>
                      <w:rFonts w:eastAsiaTheme="minorEastAsia"/>
                      <w:color w:val="auto"/>
                      <w:sz w:val="18"/>
                      <w:szCs w:val="18"/>
                      <w:lang w:eastAsia="en-US"/>
                    </w:rPr>
                  </w:pPr>
                  <w:r>
                    <w:rPr>
                      <w:rFonts w:hint="eastAsia" w:eastAsiaTheme="minorEastAsia"/>
                      <w:color w:val="auto"/>
                      <w:sz w:val="18"/>
                      <w:szCs w:val="18"/>
                      <w:lang w:eastAsia="en-US"/>
                    </w:rPr>
                    <w:t>生产能力为20t/h</w:t>
                  </w:r>
                </w:p>
              </w:tc>
            </w:tr>
            <w:tr w14:paraId="0FD7E3E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315" w:type="pct"/>
                  <w:vAlign w:val="center"/>
                </w:tcPr>
                <w:p w14:paraId="382D0CD0">
                  <w:pPr>
                    <w:autoSpaceDE w:val="0"/>
                    <w:autoSpaceDN w:val="0"/>
                    <w:adjustRightInd w:val="0"/>
                    <w:snapToGrid w:val="0"/>
                    <w:jc w:val="center"/>
                    <w:rPr>
                      <w:rFonts w:eastAsiaTheme="minorEastAsia"/>
                      <w:color w:val="auto"/>
                      <w:sz w:val="18"/>
                      <w:szCs w:val="18"/>
                      <w:lang w:eastAsia="en-US"/>
                    </w:rPr>
                  </w:pPr>
                  <w:r>
                    <w:rPr>
                      <w:rFonts w:eastAsiaTheme="minorEastAsia"/>
                      <w:color w:val="auto"/>
                      <w:sz w:val="18"/>
                      <w:szCs w:val="18"/>
                      <w:lang w:eastAsia="en-US"/>
                    </w:rPr>
                    <w:t>2</w:t>
                  </w:r>
                </w:p>
              </w:tc>
              <w:tc>
                <w:tcPr>
                  <w:tcW w:w="1321" w:type="pct"/>
                  <w:vAlign w:val="center"/>
                </w:tcPr>
                <w:p w14:paraId="7D298097">
                  <w:pPr>
                    <w:autoSpaceDE w:val="0"/>
                    <w:autoSpaceDN w:val="0"/>
                    <w:adjustRightInd w:val="0"/>
                    <w:snapToGrid w:val="0"/>
                    <w:jc w:val="center"/>
                    <w:rPr>
                      <w:rFonts w:eastAsiaTheme="minorEastAsia"/>
                      <w:color w:val="auto"/>
                      <w:sz w:val="18"/>
                      <w:szCs w:val="18"/>
                      <w:lang w:eastAsia="en-US"/>
                    </w:rPr>
                  </w:pPr>
                  <w:r>
                    <w:rPr>
                      <w:rFonts w:hint="eastAsia" w:eastAsiaTheme="minorEastAsia"/>
                      <w:color w:val="auto"/>
                      <w:sz w:val="18"/>
                      <w:szCs w:val="18"/>
                      <w:lang w:eastAsia="en-US"/>
                    </w:rPr>
                    <w:t>锤式破碎机</w:t>
                  </w:r>
                </w:p>
              </w:tc>
              <w:tc>
                <w:tcPr>
                  <w:tcW w:w="924" w:type="pct"/>
                  <w:vAlign w:val="center"/>
                </w:tcPr>
                <w:p w14:paraId="57EB1AEC">
                  <w:pPr>
                    <w:autoSpaceDE w:val="0"/>
                    <w:autoSpaceDN w:val="0"/>
                    <w:adjustRightInd w:val="0"/>
                    <w:snapToGrid w:val="0"/>
                    <w:jc w:val="center"/>
                    <w:rPr>
                      <w:rFonts w:eastAsiaTheme="minorEastAsia"/>
                      <w:color w:val="auto"/>
                      <w:sz w:val="18"/>
                      <w:szCs w:val="18"/>
                      <w:lang w:eastAsia="en-US"/>
                    </w:rPr>
                  </w:pPr>
                  <w:r>
                    <w:rPr>
                      <w:rFonts w:hint="eastAsia" w:eastAsiaTheme="minorEastAsia"/>
                      <w:color w:val="auto"/>
                      <w:sz w:val="18"/>
                      <w:szCs w:val="18"/>
                      <w:lang w:eastAsia="en-US"/>
                    </w:rPr>
                    <w:t>2</w:t>
                  </w:r>
                </w:p>
              </w:tc>
              <w:tc>
                <w:tcPr>
                  <w:tcW w:w="2438" w:type="pct"/>
                  <w:vAlign w:val="center"/>
                </w:tcPr>
                <w:p w14:paraId="206E17D1">
                  <w:pPr>
                    <w:autoSpaceDE w:val="0"/>
                    <w:autoSpaceDN w:val="0"/>
                    <w:adjustRightInd w:val="0"/>
                    <w:snapToGrid w:val="0"/>
                    <w:jc w:val="center"/>
                    <w:rPr>
                      <w:rFonts w:eastAsiaTheme="minorEastAsia"/>
                      <w:color w:val="auto"/>
                      <w:sz w:val="18"/>
                      <w:szCs w:val="18"/>
                      <w:lang w:eastAsia="en-US"/>
                    </w:rPr>
                  </w:pPr>
                  <w:r>
                    <w:rPr>
                      <w:rFonts w:hint="eastAsia" w:eastAsiaTheme="minorEastAsia"/>
                      <w:color w:val="auto"/>
                      <w:sz w:val="18"/>
                      <w:szCs w:val="18"/>
                      <w:lang w:eastAsia="en-US"/>
                    </w:rPr>
                    <w:t>生产能力为20t/h</w:t>
                  </w:r>
                </w:p>
              </w:tc>
            </w:tr>
            <w:tr w14:paraId="7749CB0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315" w:type="pct"/>
                  <w:vAlign w:val="center"/>
                </w:tcPr>
                <w:p w14:paraId="3E494F73">
                  <w:pPr>
                    <w:autoSpaceDE w:val="0"/>
                    <w:autoSpaceDN w:val="0"/>
                    <w:adjustRightInd w:val="0"/>
                    <w:snapToGrid w:val="0"/>
                    <w:jc w:val="center"/>
                    <w:rPr>
                      <w:rFonts w:eastAsiaTheme="minorEastAsia"/>
                      <w:color w:val="auto"/>
                      <w:sz w:val="18"/>
                      <w:szCs w:val="18"/>
                      <w:lang w:eastAsia="en-US"/>
                    </w:rPr>
                  </w:pPr>
                  <w:r>
                    <w:rPr>
                      <w:rFonts w:eastAsiaTheme="minorEastAsia"/>
                      <w:color w:val="auto"/>
                      <w:sz w:val="18"/>
                      <w:szCs w:val="18"/>
                      <w:lang w:eastAsia="en-US"/>
                    </w:rPr>
                    <w:t>3</w:t>
                  </w:r>
                </w:p>
              </w:tc>
              <w:tc>
                <w:tcPr>
                  <w:tcW w:w="1321" w:type="pct"/>
                  <w:vAlign w:val="center"/>
                </w:tcPr>
                <w:p w14:paraId="25A13945">
                  <w:pPr>
                    <w:autoSpaceDE w:val="0"/>
                    <w:autoSpaceDN w:val="0"/>
                    <w:adjustRightInd w:val="0"/>
                    <w:snapToGrid w:val="0"/>
                    <w:jc w:val="center"/>
                    <w:rPr>
                      <w:rFonts w:eastAsiaTheme="minorEastAsia"/>
                      <w:color w:val="auto"/>
                      <w:sz w:val="18"/>
                      <w:szCs w:val="18"/>
                      <w:lang w:eastAsia="en-US"/>
                    </w:rPr>
                  </w:pPr>
                  <w:r>
                    <w:rPr>
                      <w:rFonts w:hint="eastAsia" w:eastAsiaTheme="minorEastAsia"/>
                      <w:color w:val="auto"/>
                      <w:sz w:val="18"/>
                      <w:szCs w:val="18"/>
                      <w:lang w:eastAsia="en-US"/>
                    </w:rPr>
                    <w:t>上料机</w:t>
                  </w:r>
                </w:p>
              </w:tc>
              <w:tc>
                <w:tcPr>
                  <w:tcW w:w="924" w:type="pct"/>
                  <w:vAlign w:val="center"/>
                </w:tcPr>
                <w:p w14:paraId="35B0E114">
                  <w:pPr>
                    <w:autoSpaceDE w:val="0"/>
                    <w:autoSpaceDN w:val="0"/>
                    <w:adjustRightInd w:val="0"/>
                    <w:snapToGrid w:val="0"/>
                    <w:jc w:val="center"/>
                    <w:rPr>
                      <w:rFonts w:eastAsiaTheme="minorEastAsia"/>
                      <w:color w:val="auto"/>
                      <w:sz w:val="18"/>
                      <w:szCs w:val="18"/>
                      <w:lang w:eastAsia="en-US"/>
                    </w:rPr>
                  </w:pPr>
                  <w:r>
                    <w:rPr>
                      <w:rFonts w:hint="eastAsia" w:eastAsiaTheme="minorEastAsia"/>
                      <w:color w:val="auto"/>
                      <w:sz w:val="18"/>
                      <w:szCs w:val="18"/>
                      <w:lang w:eastAsia="en-US"/>
                    </w:rPr>
                    <w:t>1</w:t>
                  </w:r>
                </w:p>
              </w:tc>
              <w:tc>
                <w:tcPr>
                  <w:tcW w:w="2438" w:type="pct"/>
                  <w:vAlign w:val="center"/>
                </w:tcPr>
                <w:p w14:paraId="25244687">
                  <w:pPr>
                    <w:autoSpaceDE w:val="0"/>
                    <w:autoSpaceDN w:val="0"/>
                    <w:adjustRightInd w:val="0"/>
                    <w:snapToGrid w:val="0"/>
                    <w:jc w:val="center"/>
                    <w:rPr>
                      <w:rFonts w:eastAsiaTheme="minorEastAsia"/>
                      <w:color w:val="auto"/>
                      <w:sz w:val="18"/>
                      <w:szCs w:val="18"/>
                      <w:lang w:eastAsia="en-US"/>
                    </w:rPr>
                  </w:pPr>
                  <w:r>
                    <w:rPr>
                      <w:rFonts w:hint="eastAsia" w:eastAsiaTheme="minorEastAsia"/>
                      <w:color w:val="auto"/>
                      <w:sz w:val="18"/>
                      <w:szCs w:val="18"/>
                      <w:lang w:eastAsia="en-US"/>
                    </w:rPr>
                    <w:t>生产能力为20t/h</w:t>
                  </w:r>
                </w:p>
              </w:tc>
            </w:tr>
            <w:tr w14:paraId="5504B69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315" w:type="pct"/>
                  <w:vAlign w:val="center"/>
                </w:tcPr>
                <w:p w14:paraId="3532F0D6">
                  <w:pPr>
                    <w:autoSpaceDE w:val="0"/>
                    <w:autoSpaceDN w:val="0"/>
                    <w:adjustRightInd w:val="0"/>
                    <w:snapToGrid w:val="0"/>
                    <w:jc w:val="center"/>
                    <w:rPr>
                      <w:rFonts w:eastAsiaTheme="minorEastAsia"/>
                      <w:color w:val="auto"/>
                      <w:sz w:val="18"/>
                      <w:szCs w:val="18"/>
                      <w:lang w:eastAsia="en-US"/>
                    </w:rPr>
                  </w:pPr>
                  <w:r>
                    <w:rPr>
                      <w:rFonts w:eastAsiaTheme="minorEastAsia"/>
                      <w:color w:val="auto"/>
                      <w:sz w:val="18"/>
                      <w:szCs w:val="18"/>
                      <w:lang w:eastAsia="en-US"/>
                    </w:rPr>
                    <w:t>4</w:t>
                  </w:r>
                </w:p>
              </w:tc>
              <w:tc>
                <w:tcPr>
                  <w:tcW w:w="1321" w:type="pct"/>
                  <w:vAlign w:val="center"/>
                </w:tcPr>
                <w:p w14:paraId="12F9A2F2">
                  <w:pPr>
                    <w:autoSpaceDE w:val="0"/>
                    <w:autoSpaceDN w:val="0"/>
                    <w:adjustRightInd w:val="0"/>
                    <w:snapToGrid w:val="0"/>
                    <w:jc w:val="center"/>
                    <w:rPr>
                      <w:rFonts w:eastAsiaTheme="minorEastAsia"/>
                      <w:color w:val="auto"/>
                      <w:sz w:val="18"/>
                      <w:szCs w:val="18"/>
                      <w:lang w:eastAsia="en-US"/>
                    </w:rPr>
                  </w:pPr>
                  <w:r>
                    <w:rPr>
                      <w:rFonts w:hint="eastAsia" w:eastAsiaTheme="minorEastAsia"/>
                      <w:color w:val="auto"/>
                      <w:sz w:val="18"/>
                      <w:szCs w:val="18"/>
                      <w:lang w:eastAsia="en-US"/>
                    </w:rPr>
                    <w:t>滚笼筛</w:t>
                  </w:r>
                </w:p>
              </w:tc>
              <w:tc>
                <w:tcPr>
                  <w:tcW w:w="924" w:type="pct"/>
                  <w:vAlign w:val="center"/>
                </w:tcPr>
                <w:p w14:paraId="5FF9F716">
                  <w:pPr>
                    <w:autoSpaceDE w:val="0"/>
                    <w:autoSpaceDN w:val="0"/>
                    <w:adjustRightInd w:val="0"/>
                    <w:snapToGrid w:val="0"/>
                    <w:jc w:val="center"/>
                    <w:rPr>
                      <w:rFonts w:eastAsiaTheme="minorEastAsia"/>
                      <w:color w:val="auto"/>
                      <w:sz w:val="18"/>
                      <w:szCs w:val="18"/>
                      <w:lang w:eastAsia="en-US"/>
                    </w:rPr>
                  </w:pPr>
                  <w:r>
                    <w:rPr>
                      <w:rFonts w:hint="eastAsia" w:eastAsiaTheme="minorEastAsia"/>
                      <w:color w:val="auto"/>
                      <w:sz w:val="18"/>
                      <w:szCs w:val="18"/>
                      <w:lang w:eastAsia="en-US"/>
                    </w:rPr>
                    <w:t>1</w:t>
                  </w:r>
                </w:p>
              </w:tc>
              <w:tc>
                <w:tcPr>
                  <w:tcW w:w="2438" w:type="pct"/>
                  <w:vAlign w:val="center"/>
                </w:tcPr>
                <w:p w14:paraId="3709AB7F">
                  <w:pPr>
                    <w:autoSpaceDE w:val="0"/>
                    <w:autoSpaceDN w:val="0"/>
                    <w:adjustRightInd w:val="0"/>
                    <w:snapToGrid w:val="0"/>
                    <w:jc w:val="center"/>
                    <w:rPr>
                      <w:rFonts w:eastAsiaTheme="minorEastAsia"/>
                      <w:color w:val="auto"/>
                      <w:sz w:val="18"/>
                      <w:szCs w:val="18"/>
                      <w:lang w:eastAsia="en-US"/>
                    </w:rPr>
                  </w:pPr>
                  <w:r>
                    <w:rPr>
                      <w:rFonts w:hint="eastAsia" w:eastAsiaTheme="minorEastAsia"/>
                      <w:color w:val="auto"/>
                      <w:sz w:val="18"/>
                      <w:szCs w:val="18"/>
                      <w:lang w:eastAsia="en-US"/>
                    </w:rPr>
                    <w:t>生产能力为20t/h</w:t>
                  </w:r>
                </w:p>
              </w:tc>
            </w:tr>
            <w:tr w14:paraId="6BA7747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315" w:type="pct"/>
                  <w:vAlign w:val="center"/>
                </w:tcPr>
                <w:p w14:paraId="3FC547D4">
                  <w:pPr>
                    <w:autoSpaceDE w:val="0"/>
                    <w:autoSpaceDN w:val="0"/>
                    <w:adjustRightInd w:val="0"/>
                    <w:snapToGrid w:val="0"/>
                    <w:jc w:val="center"/>
                    <w:rPr>
                      <w:rFonts w:eastAsiaTheme="minorEastAsia"/>
                      <w:color w:val="auto"/>
                      <w:sz w:val="18"/>
                      <w:szCs w:val="18"/>
                      <w:lang w:eastAsia="en-US"/>
                    </w:rPr>
                  </w:pPr>
                  <w:r>
                    <w:rPr>
                      <w:rFonts w:eastAsiaTheme="minorEastAsia"/>
                      <w:color w:val="auto"/>
                      <w:sz w:val="18"/>
                      <w:szCs w:val="18"/>
                      <w:lang w:eastAsia="en-US"/>
                    </w:rPr>
                    <w:t>5</w:t>
                  </w:r>
                </w:p>
              </w:tc>
              <w:tc>
                <w:tcPr>
                  <w:tcW w:w="1321" w:type="pct"/>
                  <w:vAlign w:val="center"/>
                </w:tcPr>
                <w:p w14:paraId="32BCA1F7">
                  <w:pPr>
                    <w:autoSpaceDE w:val="0"/>
                    <w:autoSpaceDN w:val="0"/>
                    <w:adjustRightInd w:val="0"/>
                    <w:snapToGrid w:val="0"/>
                    <w:jc w:val="center"/>
                    <w:rPr>
                      <w:rFonts w:eastAsiaTheme="minorEastAsia"/>
                      <w:color w:val="auto"/>
                      <w:sz w:val="18"/>
                      <w:szCs w:val="18"/>
                      <w:lang w:eastAsia="en-US"/>
                    </w:rPr>
                  </w:pPr>
                  <w:r>
                    <w:rPr>
                      <w:rFonts w:hint="eastAsia" w:eastAsiaTheme="minorEastAsia"/>
                      <w:color w:val="auto"/>
                      <w:sz w:val="18"/>
                      <w:szCs w:val="18"/>
                      <w:lang w:eastAsia="en-US"/>
                    </w:rPr>
                    <w:t>捞沙机</w:t>
                  </w:r>
                </w:p>
              </w:tc>
              <w:tc>
                <w:tcPr>
                  <w:tcW w:w="924" w:type="pct"/>
                  <w:vAlign w:val="center"/>
                </w:tcPr>
                <w:p w14:paraId="693D3A07">
                  <w:pPr>
                    <w:autoSpaceDE w:val="0"/>
                    <w:autoSpaceDN w:val="0"/>
                    <w:adjustRightInd w:val="0"/>
                    <w:snapToGrid w:val="0"/>
                    <w:jc w:val="center"/>
                    <w:rPr>
                      <w:rFonts w:eastAsiaTheme="minorEastAsia"/>
                      <w:color w:val="auto"/>
                      <w:sz w:val="18"/>
                      <w:szCs w:val="18"/>
                      <w:lang w:eastAsia="en-US"/>
                    </w:rPr>
                  </w:pPr>
                  <w:r>
                    <w:rPr>
                      <w:rFonts w:hint="eastAsia" w:eastAsiaTheme="minorEastAsia"/>
                      <w:color w:val="auto"/>
                      <w:sz w:val="18"/>
                      <w:szCs w:val="18"/>
                      <w:lang w:eastAsia="en-US"/>
                    </w:rPr>
                    <w:t>1</w:t>
                  </w:r>
                </w:p>
              </w:tc>
              <w:tc>
                <w:tcPr>
                  <w:tcW w:w="2438" w:type="pct"/>
                  <w:vAlign w:val="center"/>
                </w:tcPr>
                <w:p w14:paraId="14225D27">
                  <w:pPr>
                    <w:autoSpaceDE w:val="0"/>
                    <w:autoSpaceDN w:val="0"/>
                    <w:adjustRightInd w:val="0"/>
                    <w:snapToGrid w:val="0"/>
                    <w:jc w:val="center"/>
                    <w:rPr>
                      <w:rFonts w:eastAsiaTheme="minorEastAsia"/>
                      <w:color w:val="auto"/>
                      <w:sz w:val="18"/>
                      <w:szCs w:val="18"/>
                      <w:lang w:eastAsia="en-US"/>
                    </w:rPr>
                  </w:pPr>
                  <w:r>
                    <w:rPr>
                      <w:rFonts w:hint="eastAsia" w:eastAsiaTheme="minorEastAsia"/>
                      <w:color w:val="auto"/>
                      <w:sz w:val="18"/>
                      <w:szCs w:val="18"/>
                      <w:lang w:eastAsia="en-US"/>
                    </w:rPr>
                    <w:t>生产能力为20t/h</w:t>
                  </w:r>
                </w:p>
              </w:tc>
            </w:tr>
            <w:tr w14:paraId="29C5EC8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315" w:type="pct"/>
                  <w:vAlign w:val="center"/>
                </w:tcPr>
                <w:p w14:paraId="04C8ECF0">
                  <w:pPr>
                    <w:autoSpaceDE w:val="0"/>
                    <w:autoSpaceDN w:val="0"/>
                    <w:adjustRightInd w:val="0"/>
                    <w:snapToGrid w:val="0"/>
                    <w:jc w:val="center"/>
                    <w:rPr>
                      <w:rFonts w:eastAsiaTheme="minorEastAsia"/>
                      <w:color w:val="auto"/>
                      <w:sz w:val="18"/>
                      <w:szCs w:val="18"/>
                      <w:lang w:eastAsia="en-US"/>
                    </w:rPr>
                  </w:pPr>
                  <w:r>
                    <w:rPr>
                      <w:rFonts w:eastAsiaTheme="minorEastAsia"/>
                      <w:color w:val="auto"/>
                      <w:sz w:val="18"/>
                      <w:szCs w:val="18"/>
                      <w:lang w:eastAsia="en-US"/>
                    </w:rPr>
                    <w:t>6</w:t>
                  </w:r>
                </w:p>
              </w:tc>
              <w:tc>
                <w:tcPr>
                  <w:tcW w:w="1321" w:type="pct"/>
                  <w:vAlign w:val="center"/>
                </w:tcPr>
                <w:p w14:paraId="6F011C6A">
                  <w:pPr>
                    <w:autoSpaceDE w:val="0"/>
                    <w:autoSpaceDN w:val="0"/>
                    <w:adjustRightInd w:val="0"/>
                    <w:snapToGrid w:val="0"/>
                    <w:jc w:val="center"/>
                    <w:rPr>
                      <w:rFonts w:eastAsiaTheme="minorEastAsia"/>
                      <w:color w:val="auto"/>
                      <w:sz w:val="18"/>
                      <w:szCs w:val="18"/>
                      <w:lang w:eastAsia="en-US"/>
                    </w:rPr>
                  </w:pPr>
                  <w:r>
                    <w:rPr>
                      <w:rFonts w:hint="eastAsia" w:eastAsiaTheme="minorEastAsia"/>
                      <w:color w:val="auto"/>
                      <w:sz w:val="18"/>
                      <w:szCs w:val="18"/>
                      <w:lang w:eastAsia="en-US"/>
                    </w:rPr>
                    <w:t>脱水筛</w:t>
                  </w:r>
                </w:p>
              </w:tc>
              <w:tc>
                <w:tcPr>
                  <w:tcW w:w="924" w:type="pct"/>
                  <w:vAlign w:val="center"/>
                </w:tcPr>
                <w:p w14:paraId="359397F4">
                  <w:pPr>
                    <w:autoSpaceDE w:val="0"/>
                    <w:autoSpaceDN w:val="0"/>
                    <w:adjustRightInd w:val="0"/>
                    <w:snapToGrid w:val="0"/>
                    <w:jc w:val="center"/>
                    <w:rPr>
                      <w:rFonts w:eastAsiaTheme="minorEastAsia"/>
                      <w:color w:val="auto"/>
                      <w:sz w:val="18"/>
                      <w:szCs w:val="18"/>
                      <w:lang w:eastAsia="en-US"/>
                    </w:rPr>
                  </w:pPr>
                  <w:r>
                    <w:rPr>
                      <w:rFonts w:hint="eastAsia" w:eastAsiaTheme="minorEastAsia"/>
                      <w:color w:val="auto"/>
                      <w:sz w:val="18"/>
                      <w:szCs w:val="18"/>
                      <w:lang w:eastAsia="en-US"/>
                    </w:rPr>
                    <w:t>1</w:t>
                  </w:r>
                </w:p>
              </w:tc>
              <w:tc>
                <w:tcPr>
                  <w:tcW w:w="2438" w:type="pct"/>
                  <w:vAlign w:val="center"/>
                </w:tcPr>
                <w:p w14:paraId="24B98F2D">
                  <w:pPr>
                    <w:autoSpaceDE w:val="0"/>
                    <w:autoSpaceDN w:val="0"/>
                    <w:adjustRightInd w:val="0"/>
                    <w:snapToGrid w:val="0"/>
                    <w:jc w:val="center"/>
                    <w:rPr>
                      <w:rFonts w:eastAsiaTheme="minorEastAsia"/>
                      <w:color w:val="auto"/>
                      <w:sz w:val="18"/>
                      <w:szCs w:val="18"/>
                      <w:lang w:eastAsia="en-US"/>
                    </w:rPr>
                  </w:pPr>
                  <w:r>
                    <w:rPr>
                      <w:rFonts w:hint="eastAsia" w:eastAsiaTheme="minorEastAsia"/>
                      <w:color w:val="auto"/>
                      <w:sz w:val="18"/>
                      <w:szCs w:val="18"/>
                      <w:lang w:eastAsia="en-US"/>
                    </w:rPr>
                    <w:t>生产能力为20t/h</w:t>
                  </w:r>
                </w:p>
              </w:tc>
            </w:tr>
            <w:tr w14:paraId="2412F2D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315" w:type="pct"/>
                  <w:vAlign w:val="center"/>
                </w:tcPr>
                <w:p w14:paraId="0DF28057">
                  <w:pPr>
                    <w:autoSpaceDE w:val="0"/>
                    <w:autoSpaceDN w:val="0"/>
                    <w:adjustRightInd w:val="0"/>
                    <w:snapToGrid w:val="0"/>
                    <w:jc w:val="center"/>
                    <w:rPr>
                      <w:rFonts w:eastAsiaTheme="minorEastAsia"/>
                      <w:color w:val="auto"/>
                      <w:sz w:val="18"/>
                      <w:szCs w:val="18"/>
                      <w:lang w:eastAsia="en-US"/>
                    </w:rPr>
                  </w:pPr>
                  <w:r>
                    <w:rPr>
                      <w:rFonts w:hint="eastAsia" w:eastAsiaTheme="minorEastAsia"/>
                      <w:color w:val="auto"/>
                      <w:sz w:val="18"/>
                      <w:szCs w:val="18"/>
                      <w:lang w:eastAsia="en-US"/>
                    </w:rPr>
                    <w:t>7</w:t>
                  </w:r>
                </w:p>
              </w:tc>
              <w:tc>
                <w:tcPr>
                  <w:tcW w:w="1321" w:type="pct"/>
                  <w:vAlign w:val="center"/>
                </w:tcPr>
                <w:p w14:paraId="33A524C0">
                  <w:pPr>
                    <w:autoSpaceDE w:val="0"/>
                    <w:autoSpaceDN w:val="0"/>
                    <w:adjustRightInd w:val="0"/>
                    <w:snapToGrid w:val="0"/>
                    <w:jc w:val="center"/>
                    <w:rPr>
                      <w:rFonts w:eastAsiaTheme="minorEastAsia"/>
                      <w:color w:val="auto"/>
                      <w:sz w:val="18"/>
                      <w:szCs w:val="18"/>
                      <w:lang w:eastAsia="en-US"/>
                    </w:rPr>
                  </w:pPr>
                  <w:r>
                    <w:rPr>
                      <w:rFonts w:hint="eastAsia" w:eastAsiaTheme="minorEastAsia"/>
                      <w:color w:val="auto"/>
                      <w:sz w:val="18"/>
                      <w:szCs w:val="18"/>
                      <w:lang w:eastAsia="en-US"/>
                    </w:rPr>
                    <w:t>履带式压滤机</w:t>
                  </w:r>
                </w:p>
              </w:tc>
              <w:tc>
                <w:tcPr>
                  <w:tcW w:w="924" w:type="pct"/>
                  <w:vAlign w:val="center"/>
                </w:tcPr>
                <w:p w14:paraId="330CEF89">
                  <w:pPr>
                    <w:autoSpaceDE w:val="0"/>
                    <w:autoSpaceDN w:val="0"/>
                    <w:adjustRightInd w:val="0"/>
                    <w:snapToGrid w:val="0"/>
                    <w:jc w:val="center"/>
                    <w:rPr>
                      <w:rFonts w:eastAsiaTheme="minorEastAsia"/>
                      <w:color w:val="auto"/>
                      <w:sz w:val="18"/>
                      <w:szCs w:val="18"/>
                      <w:lang w:eastAsia="en-US"/>
                    </w:rPr>
                  </w:pPr>
                  <w:r>
                    <w:rPr>
                      <w:rFonts w:hint="eastAsia" w:eastAsiaTheme="minorEastAsia"/>
                      <w:color w:val="auto"/>
                      <w:sz w:val="18"/>
                      <w:szCs w:val="18"/>
                      <w:lang w:eastAsia="en-US"/>
                    </w:rPr>
                    <w:t>1</w:t>
                  </w:r>
                </w:p>
              </w:tc>
              <w:tc>
                <w:tcPr>
                  <w:tcW w:w="2438" w:type="pct"/>
                  <w:vAlign w:val="center"/>
                </w:tcPr>
                <w:p w14:paraId="21BAC9A0">
                  <w:pPr>
                    <w:autoSpaceDE w:val="0"/>
                    <w:autoSpaceDN w:val="0"/>
                    <w:adjustRightInd w:val="0"/>
                    <w:snapToGrid w:val="0"/>
                    <w:jc w:val="center"/>
                    <w:rPr>
                      <w:rFonts w:eastAsiaTheme="minorEastAsia"/>
                      <w:color w:val="auto"/>
                      <w:sz w:val="18"/>
                      <w:szCs w:val="18"/>
                      <w:lang w:eastAsia="en-US"/>
                    </w:rPr>
                  </w:pPr>
                </w:p>
              </w:tc>
            </w:tr>
            <w:tr w14:paraId="18FC209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315" w:type="pct"/>
                  <w:shd w:val="clear" w:color="auto" w:fill="auto"/>
                  <w:vAlign w:val="center"/>
                </w:tcPr>
                <w:p w14:paraId="6132F26F">
                  <w:pPr>
                    <w:autoSpaceDE w:val="0"/>
                    <w:autoSpaceDN w:val="0"/>
                    <w:adjustRightInd w:val="0"/>
                    <w:snapToGrid w:val="0"/>
                    <w:jc w:val="center"/>
                    <w:rPr>
                      <w:rFonts w:eastAsiaTheme="minorEastAsia"/>
                      <w:color w:val="auto"/>
                      <w:sz w:val="18"/>
                      <w:szCs w:val="18"/>
                      <w:lang w:eastAsia="en-US"/>
                    </w:rPr>
                  </w:pPr>
                  <w:r>
                    <w:rPr>
                      <w:rFonts w:hint="eastAsia" w:eastAsiaTheme="minorEastAsia"/>
                      <w:color w:val="auto"/>
                      <w:sz w:val="18"/>
                      <w:szCs w:val="18"/>
                      <w:lang w:eastAsia="en-US"/>
                    </w:rPr>
                    <w:t>8</w:t>
                  </w:r>
                </w:p>
              </w:tc>
              <w:tc>
                <w:tcPr>
                  <w:tcW w:w="1321" w:type="pct"/>
                  <w:shd w:val="clear" w:color="auto" w:fill="auto"/>
                  <w:vAlign w:val="center"/>
                </w:tcPr>
                <w:p w14:paraId="50C20F35">
                  <w:pPr>
                    <w:autoSpaceDE w:val="0"/>
                    <w:autoSpaceDN w:val="0"/>
                    <w:adjustRightInd w:val="0"/>
                    <w:snapToGrid w:val="0"/>
                    <w:jc w:val="center"/>
                    <w:rPr>
                      <w:rFonts w:eastAsiaTheme="minorEastAsia"/>
                      <w:color w:val="auto"/>
                      <w:sz w:val="18"/>
                      <w:szCs w:val="18"/>
                      <w:lang w:eastAsia="en-US"/>
                    </w:rPr>
                  </w:pPr>
                  <w:r>
                    <w:rPr>
                      <w:rFonts w:hint="eastAsia" w:eastAsiaTheme="minorEastAsia"/>
                      <w:color w:val="auto"/>
                      <w:sz w:val="18"/>
                      <w:szCs w:val="18"/>
                      <w:lang w:eastAsia="en-US"/>
                    </w:rPr>
                    <w:t>水罐</w:t>
                  </w:r>
                </w:p>
              </w:tc>
              <w:tc>
                <w:tcPr>
                  <w:tcW w:w="924" w:type="pct"/>
                  <w:shd w:val="clear" w:color="auto" w:fill="auto"/>
                  <w:vAlign w:val="center"/>
                </w:tcPr>
                <w:p w14:paraId="35B896AD">
                  <w:pPr>
                    <w:autoSpaceDE w:val="0"/>
                    <w:autoSpaceDN w:val="0"/>
                    <w:adjustRightInd w:val="0"/>
                    <w:snapToGrid w:val="0"/>
                    <w:jc w:val="center"/>
                    <w:rPr>
                      <w:rFonts w:eastAsiaTheme="minorEastAsia"/>
                      <w:color w:val="auto"/>
                      <w:sz w:val="18"/>
                      <w:szCs w:val="18"/>
                      <w:lang w:eastAsia="en-US"/>
                    </w:rPr>
                  </w:pPr>
                  <w:r>
                    <w:rPr>
                      <w:rFonts w:hint="eastAsia" w:eastAsiaTheme="minorEastAsia"/>
                      <w:color w:val="auto"/>
                      <w:sz w:val="18"/>
                      <w:szCs w:val="18"/>
                      <w:lang w:eastAsia="en-US"/>
                    </w:rPr>
                    <w:t>1</w:t>
                  </w:r>
                </w:p>
              </w:tc>
              <w:tc>
                <w:tcPr>
                  <w:tcW w:w="2438" w:type="pct"/>
                  <w:shd w:val="clear" w:color="auto" w:fill="auto"/>
                  <w:vAlign w:val="center"/>
                </w:tcPr>
                <w:p w14:paraId="3FBB4712">
                  <w:pPr>
                    <w:autoSpaceDE w:val="0"/>
                    <w:autoSpaceDN w:val="0"/>
                    <w:adjustRightInd w:val="0"/>
                    <w:snapToGrid w:val="0"/>
                    <w:jc w:val="center"/>
                    <w:rPr>
                      <w:rFonts w:eastAsiaTheme="minorEastAsia"/>
                      <w:color w:val="auto"/>
                      <w:sz w:val="18"/>
                      <w:szCs w:val="18"/>
                      <w:lang w:eastAsia="en-US"/>
                    </w:rPr>
                  </w:pPr>
                  <w:r>
                    <w:rPr>
                      <w:rFonts w:hint="eastAsia" w:eastAsiaTheme="minorEastAsia"/>
                      <w:color w:val="auto"/>
                      <w:sz w:val="18"/>
                      <w:szCs w:val="18"/>
                      <w:lang w:eastAsia="en-US"/>
                    </w:rPr>
                    <w:t>14m×2.5m×4m</w:t>
                  </w:r>
                </w:p>
              </w:tc>
            </w:tr>
            <w:tr w14:paraId="0C5B3DE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315" w:type="pct"/>
                  <w:shd w:val="clear" w:color="auto" w:fill="auto"/>
                  <w:vAlign w:val="center"/>
                </w:tcPr>
                <w:p w14:paraId="23B647E4">
                  <w:pPr>
                    <w:autoSpaceDE w:val="0"/>
                    <w:autoSpaceDN w:val="0"/>
                    <w:adjustRightInd w:val="0"/>
                    <w:snapToGrid w:val="0"/>
                    <w:jc w:val="center"/>
                    <w:rPr>
                      <w:rFonts w:eastAsiaTheme="minorEastAsia"/>
                      <w:color w:val="auto"/>
                      <w:sz w:val="18"/>
                      <w:szCs w:val="18"/>
                      <w:lang w:eastAsia="en-US"/>
                    </w:rPr>
                  </w:pPr>
                  <w:r>
                    <w:rPr>
                      <w:rFonts w:hint="eastAsia" w:eastAsiaTheme="minorEastAsia"/>
                      <w:color w:val="auto"/>
                      <w:sz w:val="18"/>
                      <w:szCs w:val="18"/>
                      <w:lang w:eastAsia="en-US"/>
                    </w:rPr>
                    <w:t>9</w:t>
                  </w:r>
                </w:p>
              </w:tc>
              <w:tc>
                <w:tcPr>
                  <w:tcW w:w="1321" w:type="pct"/>
                  <w:shd w:val="clear" w:color="auto" w:fill="auto"/>
                  <w:vAlign w:val="center"/>
                </w:tcPr>
                <w:p w14:paraId="67C9BA8B">
                  <w:pPr>
                    <w:autoSpaceDE w:val="0"/>
                    <w:autoSpaceDN w:val="0"/>
                    <w:adjustRightInd w:val="0"/>
                    <w:snapToGrid w:val="0"/>
                    <w:jc w:val="center"/>
                    <w:rPr>
                      <w:rFonts w:eastAsiaTheme="minorEastAsia"/>
                      <w:color w:val="auto"/>
                      <w:sz w:val="18"/>
                      <w:szCs w:val="18"/>
                      <w:lang w:eastAsia="en-US"/>
                    </w:rPr>
                  </w:pPr>
                  <w:r>
                    <w:rPr>
                      <w:rFonts w:hint="eastAsia" w:eastAsiaTheme="minorEastAsia"/>
                      <w:color w:val="auto"/>
                      <w:sz w:val="18"/>
                      <w:szCs w:val="18"/>
                      <w:lang w:eastAsia="en-US"/>
                    </w:rPr>
                    <w:t>铲车</w:t>
                  </w:r>
                </w:p>
              </w:tc>
              <w:tc>
                <w:tcPr>
                  <w:tcW w:w="924" w:type="pct"/>
                  <w:shd w:val="clear" w:color="auto" w:fill="auto"/>
                  <w:vAlign w:val="center"/>
                </w:tcPr>
                <w:p w14:paraId="4AE86B69">
                  <w:pPr>
                    <w:autoSpaceDE w:val="0"/>
                    <w:autoSpaceDN w:val="0"/>
                    <w:adjustRightInd w:val="0"/>
                    <w:snapToGrid w:val="0"/>
                    <w:jc w:val="center"/>
                    <w:rPr>
                      <w:rFonts w:eastAsiaTheme="minorEastAsia"/>
                      <w:color w:val="auto"/>
                      <w:sz w:val="18"/>
                      <w:szCs w:val="18"/>
                      <w:lang w:eastAsia="en-US"/>
                    </w:rPr>
                  </w:pPr>
                  <w:r>
                    <w:rPr>
                      <w:rFonts w:hint="eastAsia" w:eastAsiaTheme="minorEastAsia"/>
                      <w:color w:val="auto"/>
                      <w:sz w:val="18"/>
                      <w:szCs w:val="18"/>
                      <w:lang w:eastAsia="en-US"/>
                    </w:rPr>
                    <w:t>2</w:t>
                  </w:r>
                </w:p>
              </w:tc>
              <w:tc>
                <w:tcPr>
                  <w:tcW w:w="2438" w:type="pct"/>
                  <w:shd w:val="clear" w:color="auto" w:fill="auto"/>
                  <w:vAlign w:val="center"/>
                </w:tcPr>
                <w:p w14:paraId="22551DED">
                  <w:pPr>
                    <w:autoSpaceDE w:val="0"/>
                    <w:autoSpaceDN w:val="0"/>
                    <w:adjustRightInd w:val="0"/>
                    <w:snapToGrid w:val="0"/>
                    <w:jc w:val="center"/>
                    <w:rPr>
                      <w:rFonts w:eastAsiaTheme="minorEastAsia"/>
                      <w:color w:val="auto"/>
                      <w:sz w:val="18"/>
                      <w:szCs w:val="18"/>
                      <w:lang w:eastAsia="en-US"/>
                    </w:rPr>
                  </w:pPr>
                </w:p>
              </w:tc>
            </w:tr>
          </w:tbl>
          <w:p w14:paraId="6FE5AD87">
            <w:pPr>
              <w:adjustRightInd w:val="0"/>
              <w:snapToGrid w:val="0"/>
              <w:ind w:firstLine="447"/>
              <w:jc w:val="left"/>
              <w:rPr>
                <w:rFonts w:hAnsi="宋体"/>
                <w:bCs/>
                <w:color w:val="auto"/>
              </w:rPr>
            </w:pPr>
          </w:p>
          <w:p w14:paraId="1A573189">
            <w:pPr>
              <w:adjustRightInd w:val="0"/>
              <w:snapToGrid w:val="0"/>
              <w:spacing w:line="312" w:lineRule="auto"/>
              <w:jc w:val="left"/>
              <w:rPr>
                <w:rFonts w:hAnsi="宋体"/>
                <w:bCs/>
                <w:color w:val="auto"/>
              </w:rPr>
            </w:pPr>
            <w:r>
              <w:rPr>
                <w:rFonts w:hint="eastAsia" w:hAnsi="宋体"/>
                <w:bCs/>
                <w:color w:val="auto"/>
              </w:rPr>
              <w:t>3.4原辅材料</w:t>
            </w:r>
          </w:p>
          <w:p w14:paraId="22439142">
            <w:pPr>
              <w:adjustRightInd w:val="0"/>
              <w:snapToGrid w:val="0"/>
              <w:spacing w:line="360" w:lineRule="auto"/>
              <w:ind w:firstLine="420" w:firstLineChars="200"/>
              <w:rPr>
                <w:rFonts w:hAnsi="宋体"/>
                <w:i/>
                <w:iCs/>
                <w:color w:val="auto"/>
                <w:u w:val="single"/>
              </w:rPr>
            </w:pPr>
            <w:r>
              <w:rPr>
                <w:rFonts w:hint="eastAsia" w:hAnsi="宋体"/>
                <w:color w:val="auto"/>
              </w:rPr>
              <w:t>根据建设单位提供的资料，项目原料为石灰石，来自当地东山7矿采石场，项目年消耗石料64500吨，原料由采石场运至企业原料堆场，原料堆场地面已经进行硬化处理，</w:t>
            </w:r>
            <w:r>
              <w:rPr>
                <w:rFonts w:hint="eastAsia" w:hAnsi="宋体"/>
                <w:i/>
                <w:iCs/>
                <w:color w:val="auto"/>
                <w:u w:val="single"/>
              </w:rPr>
              <w:t>堆场占地面积为2000m</w:t>
            </w:r>
            <w:r>
              <w:rPr>
                <w:rFonts w:hint="eastAsia" w:hAnsi="宋体"/>
                <w:i/>
                <w:iCs/>
                <w:color w:val="auto"/>
                <w:u w:val="single"/>
                <w:vertAlign w:val="superscript"/>
              </w:rPr>
              <w:t>2</w:t>
            </w:r>
            <w:r>
              <w:rPr>
                <w:rFonts w:hint="eastAsia" w:hAnsi="宋体"/>
                <w:i/>
                <w:iCs/>
                <w:color w:val="auto"/>
                <w:u w:val="single"/>
              </w:rPr>
              <w:t>，堆高4m，石料的规格为5mm-400mm，最大贮存量为0.8万m</w:t>
            </w:r>
            <w:r>
              <w:rPr>
                <w:rFonts w:hint="eastAsia" w:hAnsi="宋体"/>
                <w:i/>
                <w:iCs/>
                <w:color w:val="auto"/>
                <w:u w:val="single"/>
                <w:vertAlign w:val="superscript"/>
              </w:rPr>
              <w:t>3</w:t>
            </w:r>
            <w:r>
              <w:rPr>
                <w:rFonts w:hint="eastAsia" w:hAnsi="宋体"/>
                <w:i/>
                <w:iCs/>
                <w:color w:val="auto"/>
                <w:u w:val="single"/>
              </w:rPr>
              <w:t>，采用露天堆放，苫布遮盖。</w:t>
            </w:r>
          </w:p>
          <w:p w14:paraId="48E40F0C">
            <w:pPr>
              <w:pStyle w:val="41"/>
              <w:spacing w:after="0"/>
              <w:ind w:firstLine="0" w:firstLineChars="0"/>
              <w:rPr>
                <w:rFonts w:ascii="Times New Roman"/>
                <w:color w:val="auto"/>
                <w:sz w:val="21"/>
              </w:rPr>
            </w:pPr>
            <w:r>
              <w:rPr>
                <w:rFonts w:hint="eastAsia" w:ascii="Times New Roman"/>
                <w:color w:val="auto"/>
                <w:sz w:val="21"/>
              </w:rPr>
              <w:t>3.5</w:t>
            </w:r>
            <w:r>
              <w:rPr>
                <w:rFonts w:ascii="Times New Roman"/>
                <w:color w:val="auto"/>
                <w:sz w:val="21"/>
              </w:rPr>
              <w:t>公用工程</w:t>
            </w:r>
          </w:p>
          <w:p w14:paraId="38486ECA">
            <w:pPr>
              <w:pStyle w:val="41"/>
              <w:spacing w:after="0"/>
              <w:ind w:firstLine="0" w:firstLineChars="0"/>
              <w:rPr>
                <w:rFonts w:ascii="Times New Roman"/>
                <w:color w:val="auto"/>
                <w:sz w:val="21"/>
              </w:rPr>
            </w:pPr>
            <w:r>
              <w:rPr>
                <w:rFonts w:hint="eastAsia" w:ascii="Times New Roman"/>
                <w:color w:val="auto"/>
                <w:sz w:val="21"/>
              </w:rPr>
              <w:t>3.5.1</w:t>
            </w:r>
            <w:r>
              <w:rPr>
                <w:rFonts w:ascii="Times New Roman"/>
                <w:color w:val="auto"/>
                <w:sz w:val="21"/>
              </w:rPr>
              <w:t>给水</w:t>
            </w:r>
          </w:p>
          <w:p w14:paraId="1CAAA138">
            <w:pPr>
              <w:adjustRightInd w:val="0"/>
              <w:snapToGrid w:val="0"/>
              <w:spacing w:line="360" w:lineRule="auto"/>
              <w:ind w:firstLine="420" w:firstLineChars="200"/>
              <w:rPr>
                <w:color w:val="auto"/>
              </w:rPr>
            </w:pPr>
            <w:r>
              <w:rPr>
                <w:color w:val="auto"/>
              </w:rPr>
              <w:t>本项目用水</w:t>
            </w:r>
            <w:r>
              <w:rPr>
                <w:rFonts w:hint="eastAsia"/>
                <w:color w:val="auto"/>
              </w:rPr>
              <w:t>为</w:t>
            </w:r>
            <w:r>
              <w:rPr>
                <w:color w:val="auto"/>
              </w:rPr>
              <w:t>生活用水</w:t>
            </w:r>
            <w:r>
              <w:rPr>
                <w:rFonts w:hint="eastAsia"/>
                <w:color w:val="auto"/>
              </w:rPr>
              <w:t>、生产用水，</w:t>
            </w:r>
            <w:r>
              <w:rPr>
                <w:color w:val="auto"/>
              </w:rPr>
              <w:t>由厂区内</w:t>
            </w:r>
            <w:r>
              <w:rPr>
                <w:rFonts w:hint="eastAsia"/>
                <w:color w:val="auto"/>
              </w:rPr>
              <w:t>现有深井提供</w:t>
            </w:r>
            <w:r>
              <w:rPr>
                <w:color w:val="auto"/>
              </w:rPr>
              <w:t>。</w:t>
            </w:r>
          </w:p>
          <w:p w14:paraId="204603E0">
            <w:pPr>
              <w:adjustRightInd w:val="0"/>
              <w:snapToGrid w:val="0"/>
              <w:spacing w:line="360" w:lineRule="auto"/>
              <w:ind w:firstLine="420" w:firstLineChars="200"/>
              <w:rPr>
                <w:color w:val="auto"/>
              </w:rPr>
            </w:pPr>
            <w:r>
              <w:rPr>
                <w:rFonts w:hint="eastAsia"/>
                <w:color w:val="auto"/>
              </w:rPr>
              <w:t>（1）生活用水</w:t>
            </w:r>
          </w:p>
          <w:p w14:paraId="603879F0">
            <w:pPr>
              <w:adjustRightInd w:val="0"/>
              <w:snapToGrid w:val="0"/>
              <w:spacing w:line="360" w:lineRule="auto"/>
              <w:ind w:firstLine="420" w:firstLineChars="200"/>
              <w:rPr>
                <w:color w:val="auto"/>
              </w:rPr>
            </w:pPr>
            <w:r>
              <w:rPr>
                <w:color w:val="auto"/>
              </w:rPr>
              <w:t>本项目劳动定员</w:t>
            </w:r>
            <w:r>
              <w:rPr>
                <w:rFonts w:hint="eastAsia"/>
                <w:color w:val="auto"/>
              </w:rPr>
              <w:t>10</w:t>
            </w:r>
            <w:r>
              <w:rPr>
                <w:color w:val="auto"/>
              </w:rPr>
              <w:t>人，</w:t>
            </w:r>
            <w:r>
              <w:rPr>
                <w:rFonts w:hint="eastAsia"/>
                <w:color w:val="auto"/>
              </w:rPr>
              <w:t>年工作2</w:t>
            </w:r>
            <w:r>
              <w:rPr>
                <w:color w:val="auto"/>
              </w:rPr>
              <w:t>00</w:t>
            </w:r>
            <w:r>
              <w:rPr>
                <w:rFonts w:hint="eastAsia"/>
                <w:color w:val="auto"/>
              </w:rPr>
              <w:t>d，</w:t>
            </w:r>
            <w:r>
              <w:rPr>
                <w:color w:val="auto"/>
              </w:rPr>
              <w:t>项目不设食堂及宿舍，职工用水按照</w:t>
            </w:r>
            <w:r>
              <w:rPr>
                <w:rFonts w:hint="eastAsia"/>
                <w:color w:val="auto"/>
              </w:rPr>
              <w:t>4</w:t>
            </w:r>
            <w:r>
              <w:rPr>
                <w:color w:val="auto"/>
              </w:rPr>
              <w:t>0L/人·d计算，项目职工生活用水总量为</w:t>
            </w:r>
            <w:r>
              <w:rPr>
                <w:rFonts w:hint="eastAsia"/>
                <w:color w:val="auto"/>
              </w:rPr>
              <w:t>0.4</w:t>
            </w:r>
            <w:r>
              <w:rPr>
                <w:color w:val="auto"/>
              </w:rPr>
              <w:t>m</w:t>
            </w:r>
            <w:r>
              <w:rPr>
                <w:color w:val="auto"/>
                <w:vertAlign w:val="superscript"/>
              </w:rPr>
              <w:t>3</w:t>
            </w:r>
            <w:r>
              <w:rPr>
                <w:color w:val="auto"/>
              </w:rPr>
              <w:t>/d（</w:t>
            </w:r>
            <w:r>
              <w:rPr>
                <w:rFonts w:hint="eastAsia"/>
                <w:color w:val="auto"/>
              </w:rPr>
              <w:t>80t</w:t>
            </w:r>
            <w:r>
              <w:rPr>
                <w:color w:val="auto"/>
              </w:rPr>
              <w:t>/a）。</w:t>
            </w:r>
          </w:p>
          <w:p w14:paraId="2AC46A8F">
            <w:pPr>
              <w:adjustRightInd w:val="0"/>
              <w:snapToGrid w:val="0"/>
              <w:spacing w:line="360" w:lineRule="auto"/>
              <w:ind w:firstLine="420" w:firstLineChars="200"/>
              <w:rPr>
                <w:color w:val="auto"/>
              </w:rPr>
            </w:pPr>
            <w:r>
              <w:rPr>
                <w:rFonts w:hint="eastAsia"/>
                <w:color w:val="auto"/>
              </w:rPr>
              <w:t>（2）生产用水</w:t>
            </w:r>
          </w:p>
          <w:p w14:paraId="3E8D74A6">
            <w:pPr>
              <w:adjustRightInd w:val="0"/>
              <w:snapToGrid w:val="0"/>
              <w:spacing w:line="360" w:lineRule="auto"/>
              <w:ind w:firstLine="420" w:firstLineChars="200"/>
              <w:rPr>
                <w:color w:val="auto"/>
              </w:rPr>
            </w:pPr>
            <w:r>
              <w:rPr>
                <w:rFonts w:hint="eastAsia"/>
                <w:color w:val="auto"/>
              </w:rPr>
              <w:t>生产用水为破碎</w:t>
            </w:r>
            <w:r>
              <w:rPr>
                <w:color w:val="auto"/>
              </w:rPr>
              <w:t>工序降尘用水，洗砂用水，堆场及道路降尘用水，装卸、上料及输送降尘用水。</w:t>
            </w:r>
          </w:p>
          <w:p w14:paraId="71B4AB11">
            <w:pPr>
              <w:snapToGrid w:val="0"/>
              <w:spacing w:line="360" w:lineRule="auto"/>
              <w:ind w:firstLine="420" w:firstLineChars="200"/>
              <w:jc w:val="left"/>
              <w:rPr>
                <w:color w:val="auto"/>
              </w:rPr>
            </w:pPr>
            <w:r>
              <w:rPr>
                <w:color w:val="auto"/>
              </w:rPr>
              <w:t>①</w:t>
            </w:r>
            <w:r>
              <w:rPr>
                <w:rFonts w:hint="eastAsia"/>
                <w:color w:val="auto"/>
              </w:rPr>
              <w:t>破碎</w:t>
            </w:r>
            <w:r>
              <w:rPr>
                <w:color w:val="auto"/>
              </w:rPr>
              <w:t>工序降尘用水</w:t>
            </w:r>
          </w:p>
          <w:p w14:paraId="13CFF19D">
            <w:pPr>
              <w:snapToGrid w:val="0"/>
              <w:spacing w:line="360" w:lineRule="auto"/>
              <w:ind w:firstLine="420" w:firstLineChars="200"/>
              <w:jc w:val="left"/>
              <w:rPr>
                <w:color w:val="auto"/>
              </w:rPr>
            </w:pPr>
            <w:r>
              <w:rPr>
                <w:color w:val="auto"/>
              </w:rPr>
              <w:t>本项目</w:t>
            </w:r>
            <w:r>
              <w:rPr>
                <w:rFonts w:hint="eastAsia"/>
                <w:color w:val="auto"/>
              </w:rPr>
              <w:t>破碎</w:t>
            </w:r>
            <w:r>
              <w:rPr>
                <w:color w:val="auto"/>
              </w:rPr>
              <w:t>工序采取水雾喷淋方式减少粉尘排放，降尘用水量约为 2m</w:t>
            </w:r>
            <w:r>
              <w:rPr>
                <w:color w:val="auto"/>
                <w:vertAlign w:val="superscript"/>
              </w:rPr>
              <w:t>3</w:t>
            </w:r>
            <w:r>
              <w:rPr>
                <w:color w:val="auto"/>
              </w:rPr>
              <w:t>/d（400m</w:t>
            </w:r>
            <w:r>
              <w:rPr>
                <w:color w:val="auto"/>
                <w:vertAlign w:val="superscript"/>
              </w:rPr>
              <w:t>3</w:t>
            </w:r>
            <w:r>
              <w:rPr>
                <w:color w:val="auto"/>
              </w:rPr>
              <w:t>/a），降尘用水全部蒸发损耗。</w:t>
            </w:r>
          </w:p>
          <w:p w14:paraId="78E27E02">
            <w:pPr>
              <w:snapToGrid w:val="0"/>
              <w:spacing w:line="360" w:lineRule="auto"/>
              <w:ind w:firstLine="420" w:firstLineChars="200"/>
              <w:jc w:val="left"/>
              <w:rPr>
                <w:color w:val="auto"/>
              </w:rPr>
            </w:pPr>
            <w:r>
              <w:rPr>
                <w:color w:val="auto"/>
              </w:rPr>
              <w:t>②洗砂用水</w:t>
            </w:r>
          </w:p>
          <w:p w14:paraId="0473BCD3">
            <w:pPr>
              <w:snapToGrid w:val="0"/>
              <w:spacing w:line="360" w:lineRule="auto"/>
              <w:ind w:firstLine="396" w:firstLineChars="200"/>
              <w:jc w:val="left"/>
              <w:rPr>
                <w:color w:val="auto"/>
                <w:spacing w:val="-2"/>
              </w:rPr>
            </w:pPr>
            <w:r>
              <w:rPr>
                <w:rFonts w:hint="eastAsia"/>
                <w:color w:val="auto"/>
                <w:spacing w:val="-6"/>
              </w:rPr>
              <w:t>滚笼筛、捞沙机</w:t>
            </w:r>
            <w:r>
              <w:rPr>
                <w:color w:val="auto"/>
                <w:spacing w:val="-6"/>
              </w:rPr>
              <w:t>均是在水流的作用下工作，用水量约</w:t>
            </w:r>
            <w:r>
              <w:rPr>
                <w:color w:val="auto"/>
              </w:rPr>
              <w:t>40m</w:t>
            </w:r>
            <w:r>
              <w:rPr>
                <w:color w:val="auto"/>
                <w:vertAlign w:val="superscript"/>
              </w:rPr>
              <w:t>3</w:t>
            </w:r>
            <w:r>
              <w:rPr>
                <w:color w:val="auto"/>
              </w:rPr>
              <w:t>/d。</w:t>
            </w:r>
            <w:r>
              <w:rPr>
                <w:rFonts w:hint="eastAsia"/>
                <w:i/>
                <w:iCs/>
                <w:color w:val="auto"/>
                <w:u w:val="single"/>
              </w:rPr>
              <w:t>其中捞沙机是在洗砂水槽中进行，水槽4m×3m×1.5m，水槽通过管道与厂区的水罐相连；</w:t>
            </w:r>
            <w:r>
              <w:rPr>
                <w:color w:val="auto"/>
              </w:rPr>
              <w:t>洗沙补水量为用水量的20%，故补水量为 8m</w:t>
            </w:r>
            <w:r>
              <w:rPr>
                <w:color w:val="auto"/>
                <w:vertAlign w:val="superscript"/>
              </w:rPr>
              <w:t>3</w:t>
            </w:r>
            <w:r>
              <w:rPr>
                <w:color w:val="auto"/>
              </w:rPr>
              <w:t>/d（1600m</w:t>
            </w:r>
            <w:r>
              <w:rPr>
                <w:color w:val="auto"/>
                <w:vertAlign w:val="superscript"/>
              </w:rPr>
              <w:t>3</w:t>
            </w:r>
            <w:r>
              <w:rPr>
                <w:color w:val="auto"/>
              </w:rPr>
              <w:t>/a）。洗砂废水排入厂区</w:t>
            </w:r>
            <w:r>
              <w:rPr>
                <w:rFonts w:hint="eastAsia"/>
                <w:color w:val="auto"/>
              </w:rPr>
              <w:t>水罐中</w:t>
            </w:r>
            <w:r>
              <w:rPr>
                <w:color w:val="auto"/>
              </w:rPr>
              <w:t>，</w:t>
            </w:r>
            <w:r>
              <w:rPr>
                <w:rFonts w:hint="eastAsia"/>
                <w:color w:val="auto"/>
              </w:rPr>
              <w:t>沉淀后的</w:t>
            </w:r>
            <w:r>
              <w:rPr>
                <w:color w:val="auto"/>
              </w:rPr>
              <w:t>上清液</w:t>
            </w:r>
            <w:r>
              <w:rPr>
                <w:rFonts w:hint="eastAsia"/>
                <w:color w:val="auto"/>
              </w:rPr>
              <w:t>排入清水池中</w:t>
            </w:r>
            <w:r>
              <w:rPr>
                <w:color w:val="auto"/>
              </w:rPr>
              <w:t>回用不外排。</w:t>
            </w:r>
          </w:p>
          <w:p w14:paraId="448B162B">
            <w:pPr>
              <w:snapToGrid w:val="0"/>
              <w:spacing w:line="360" w:lineRule="auto"/>
              <w:ind w:firstLine="420" w:firstLineChars="200"/>
              <w:jc w:val="left"/>
              <w:rPr>
                <w:color w:val="auto"/>
              </w:rPr>
            </w:pPr>
            <w:r>
              <w:rPr>
                <w:color w:val="auto"/>
              </w:rPr>
              <w:t>③</w:t>
            </w:r>
            <w:r>
              <w:rPr>
                <w:bCs/>
                <w:color w:val="auto"/>
              </w:rPr>
              <w:t>堆场</w:t>
            </w:r>
            <w:r>
              <w:rPr>
                <w:rFonts w:hint="eastAsia"/>
                <w:bCs/>
                <w:color w:val="auto"/>
              </w:rPr>
              <w:t>、</w:t>
            </w:r>
            <w:r>
              <w:rPr>
                <w:bCs/>
                <w:color w:val="auto"/>
              </w:rPr>
              <w:t>道路降尘用水</w:t>
            </w:r>
          </w:p>
          <w:p w14:paraId="06465775">
            <w:pPr>
              <w:snapToGrid w:val="0"/>
              <w:spacing w:line="360" w:lineRule="auto"/>
              <w:ind w:firstLine="420" w:firstLineChars="200"/>
              <w:jc w:val="left"/>
              <w:rPr>
                <w:color w:val="auto"/>
              </w:rPr>
            </w:pPr>
            <w:r>
              <w:rPr>
                <w:bCs/>
                <w:color w:val="auto"/>
              </w:rPr>
              <w:t>厂区内</w:t>
            </w:r>
            <w:r>
              <w:rPr>
                <w:rFonts w:hint="eastAsia"/>
                <w:bCs/>
                <w:color w:val="auto"/>
              </w:rPr>
              <w:t>堆场、道路</w:t>
            </w:r>
            <w:r>
              <w:rPr>
                <w:bCs/>
                <w:color w:val="auto"/>
              </w:rPr>
              <w:t>需要定期进行洒水降尘，降尘用水按2m</w:t>
            </w:r>
            <w:r>
              <w:rPr>
                <w:bCs/>
                <w:color w:val="auto"/>
                <w:vertAlign w:val="superscript"/>
              </w:rPr>
              <w:t>3</w:t>
            </w:r>
            <w:r>
              <w:rPr>
                <w:bCs/>
                <w:color w:val="auto"/>
              </w:rPr>
              <w:t>/d计，</w:t>
            </w:r>
            <w:r>
              <w:rPr>
                <w:color w:val="auto"/>
              </w:rPr>
              <w:t>则降尘用水量为2m</w:t>
            </w:r>
            <w:r>
              <w:rPr>
                <w:color w:val="auto"/>
                <w:vertAlign w:val="superscript"/>
              </w:rPr>
              <w:t>3</w:t>
            </w:r>
            <w:r>
              <w:rPr>
                <w:color w:val="auto"/>
              </w:rPr>
              <w:t>/d（400m</w:t>
            </w:r>
            <w:r>
              <w:rPr>
                <w:color w:val="auto"/>
                <w:vertAlign w:val="superscript"/>
              </w:rPr>
              <w:t>3</w:t>
            </w:r>
            <w:r>
              <w:rPr>
                <w:color w:val="auto"/>
              </w:rPr>
              <w:t>/a），</w:t>
            </w:r>
            <w:r>
              <w:rPr>
                <w:bCs/>
                <w:color w:val="auto"/>
              </w:rPr>
              <w:t>堆场及道路降尘用水全部蒸发损耗。</w:t>
            </w:r>
          </w:p>
          <w:p w14:paraId="09C7924B">
            <w:pPr>
              <w:snapToGrid w:val="0"/>
              <w:spacing w:line="360" w:lineRule="auto"/>
              <w:ind w:firstLine="420" w:firstLineChars="200"/>
              <w:jc w:val="left"/>
              <w:rPr>
                <w:color w:val="auto"/>
              </w:rPr>
            </w:pPr>
            <w:bookmarkStart w:id="3" w:name="OLE_LINK1"/>
            <w:r>
              <w:rPr>
                <w:color w:val="auto"/>
              </w:rPr>
              <w:t>④装卸、上料及输送</w:t>
            </w:r>
            <w:bookmarkEnd w:id="3"/>
            <w:r>
              <w:rPr>
                <w:color w:val="auto"/>
              </w:rPr>
              <w:t>降尘用水</w:t>
            </w:r>
          </w:p>
          <w:p w14:paraId="5F1C54C7">
            <w:pPr>
              <w:snapToGrid w:val="0"/>
              <w:spacing w:line="360" w:lineRule="auto"/>
              <w:ind w:firstLine="420" w:firstLineChars="200"/>
              <w:jc w:val="left"/>
              <w:rPr>
                <w:color w:val="auto"/>
              </w:rPr>
            </w:pPr>
            <w:r>
              <w:rPr>
                <w:color w:val="auto"/>
              </w:rPr>
              <w:t>本项目装卸、上料及输送过程采取水雾喷淋方式，用水量为 3m</w:t>
            </w:r>
            <w:r>
              <w:rPr>
                <w:color w:val="auto"/>
                <w:vertAlign w:val="superscript"/>
              </w:rPr>
              <w:t>3</w:t>
            </w:r>
            <w:r>
              <w:rPr>
                <w:color w:val="auto"/>
              </w:rPr>
              <w:t>/d（600m</w:t>
            </w:r>
            <w:r>
              <w:rPr>
                <w:color w:val="auto"/>
                <w:vertAlign w:val="superscript"/>
              </w:rPr>
              <w:t>3</w:t>
            </w:r>
            <w:r>
              <w:rPr>
                <w:color w:val="auto"/>
              </w:rPr>
              <w:t>/a），装卸、上料及输送降尘用水全部蒸发损耗。</w:t>
            </w:r>
          </w:p>
          <w:p w14:paraId="027AD919">
            <w:pPr>
              <w:adjustRightInd w:val="0"/>
              <w:snapToGrid w:val="0"/>
              <w:spacing w:line="360" w:lineRule="auto"/>
              <w:ind w:firstLine="420" w:firstLineChars="200"/>
              <w:rPr>
                <w:color w:val="auto"/>
              </w:rPr>
            </w:pPr>
            <w:r>
              <w:rPr>
                <w:rFonts w:hint="eastAsia"/>
                <w:color w:val="auto"/>
              </w:rPr>
              <w:t>综上，项目总用水量为3080t/a。</w:t>
            </w:r>
          </w:p>
          <w:p w14:paraId="53D10F08">
            <w:pPr>
              <w:pStyle w:val="41"/>
              <w:spacing w:after="0"/>
              <w:ind w:firstLine="0" w:firstLineChars="0"/>
              <w:rPr>
                <w:rFonts w:ascii="Times New Roman"/>
                <w:color w:val="auto"/>
                <w:sz w:val="21"/>
              </w:rPr>
            </w:pPr>
            <w:r>
              <w:rPr>
                <w:rFonts w:hint="eastAsia" w:ascii="Times New Roman"/>
                <w:color w:val="auto"/>
                <w:sz w:val="21"/>
              </w:rPr>
              <w:t>3.5.2排</w:t>
            </w:r>
            <w:r>
              <w:rPr>
                <w:rFonts w:ascii="Times New Roman"/>
                <w:color w:val="auto"/>
                <w:sz w:val="21"/>
              </w:rPr>
              <w:t>水</w:t>
            </w:r>
          </w:p>
          <w:p w14:paraId="289CA3A4">
            <w:pPr>
              <w:adjustRightInd w:val="0"/>
              <w:snapToGrid w:val="0"/>
              <w:spacing w:line="360" w:lineRule="auto"/>
              <w:ind w:firstLine="420" w:firstLineChars="200"/>
              <w:rPr>
                <w:bCs/>
                <w:iCs/>
                <w:color w:val="auto"/>
              </w:rPr>
            </w:pPr>
            <w:r>
              <w:rPr>
                <w:rFonts w:hint="eastAsia"/>
                <w:bCs/>
                <w:i/>
                <w:iCs w:val="0"/>
                <w:color w:val="auto"/>
                <w:u w:val="single"/>
              </w:rPr>
              <w:t>项目无生产废水产生，项目产生的废水为生活污水。项目洗砂废水通过管道和厂区内水罐相连接，洗砂废水通过水泵进入水罐内进行沉淀处理，沉淀后上清液通过管道流入清水池中，清水池有专用管道，通过水泵将水抽入洗砂水槽；脱水筛脱下水通过专用</w:t>
            </w:r>
            <w:r>
              <w:rPr>
                <w:rFonts w:hint="eastAsia"/>
                <w:bCs/>
                <w:i/>
                <w:iCs w:val="0"/>
                <w:color w:val="auto"/>
                <w:highlight w:val="none"/>
                <w:u w:val="single"/>
                <w:lang w:val="en-US" w:eastAsia="zh-CN"/>
              </w:rPr>
              <w:t>地埋</w:t>
            </w:r>
            <w:r>
              <w:rPr>
                <w:rFonts w:hint="eastAsia"/>
                <w:bCs/>
                <w:i/>
                <w:iCs w:val="0"/>
                <w:color w:val="auto"/>
                <w:highlight w:val="none"/>
                <w:u w:val="single"/>
              </w:rPr>
              <w:t>管道</w:t>
            </w:r>
            <w:r>
              <w:rPr>
                <w:rFonts w:hint="eastAsia"/>
                <w:bCs/>
                <w:i/>
                <w:iCs w:val="0"/>
                <w:color w:val="auto"/>
                <w:u w:val="single"/>
              </w:rPr>
              <w:t>回流至洗砂水槽。项目生产废水经沉淀后回用于生产，不设排</w:t>
            </w:r>
            <w:r>
              <w:rPr>
                <w:rFonts w:hint="eastAsia"/>
                <w:bCs/>
                <w:i/>
                <w:iCs w:val="0"/>
                <w:color w:val="auto"/>
                <w:highlight w:val="none"/>
                <w:u w:val="single"/>
              </w:rPr>
              <w:t>污口。</w:t>
            </w:r>
          </w:p>
          <w:p w14:paraId="735C3925">
            <w:pPr>
              <w:adjustRightInd w:val="0"/>
              <w:snapToGrid w:val="0"/>
              <w:spacing w:line="360" w:lineRule="auto"/>
              <w:ind w:firstLine="420" w:firstLineChars="200"/>
              <w:rPr>
                <w:color w:val="auto"/>
              </w:rPr>
            </w:pPr>
            <w:r>
              <w:rPr>
                <w:bCs/>
                <w:iCs/>
                <w:color w:val="auto"/>
              </w:rPr>
              <w:t>生活污水产生量按用水量的80%计</w:t>
            </w:r>
            <w:r>
              <w:rPr>
                <w:color w:val="auto"/>
              </w:rPr>
              <w:t>，职工生活污水产生量为</w:t>
            </w:r>
            <w:r>
              <w:rPr>
                <w:rFonts w:hint="eastAsia"/>
                <w:color w:val="auto"/>
              </w:rPr>
              <w:t>0.32</w:t>
            </w:r>
            <w:r>
              <w:rPr>
                <w:color w:val="auto"/>
              </w:rPr>
              <w:t>m</w:t>
            </w:r>
            <w:r>
              <w:rPr>
                <w:color w:val="auto"/>
                <w:vertAlign w:val="superscript"/>
              </w:rPr>
              <w:t>3</w:t>
            </w:r>
            <w:r>
              <w:rPr>
                <w:color w:val="auto"/>
              </w:rPr>
              <w:t>/d（</w:t>
            </w:r>
            <w:r>
              <w:rPr>
                <w:rFonts w:hint="eastAsia"/>
                <w:color w:val="auto"/>
              </w:rPr>
              <w:t>64</w:t>
            </w:r>
            <w:r>
              <w:rPr>
                <w:color w:val="auto"/>
              </w:rPr>
              <w:t>m</w:t>
            </w:r>
            <w:r>
              <w:rPr>
                <w:color w:val="auto"/>
                <w:vertAlign w:val="superscript"/>
              </w:rPr>
              <w:t>3</w:t>
            </w:r>
            <w:r>
              <w:rPr>
                <w:color w:val="auto"/>
              </w:rPr>
              <w:t>/a）</w:t>
            </w:r>
            <w:r>
              <w:rPr>
                <w:rFonts w:hint="eastAsia"/>
                <w:color w:val="auto"/>
              </w:rPr>
              <w:t>，污水排入防渗旱厕内定期清淘用作农肥。</w:t>
            </w:r>
          </w:p>
          <w:p w14:paraId="3B0D40C3">
            <w:pPr>
              <w:adjustRightInd w:val="0"/>
              <w:snapToGrid w:val="0"/>
              <w:spacing w:line="360" w:lineRule="auto"/>
              <w:ind w:firstLine="420" w:firstLineChars="200"/>
              <w:rPr>
                <w:color w:val="auto"/>
              </w:rPr>
            </w:pPr>
            <w:r>
              <w:rPr>
                <w:rFonts w:hint="eastAsia"/>
                <w:color w:val="auto"/>
              </w:rPr>
              <w:t>项目水平衡详见下图。</w:t>
            </w:r>
          </w:p>
          <w:p w14:paraId="19661EED">
            <w:pPr>
              <w:pStyle w:val="41"/>
              <w:spacing w:line="336" w:lineRule="auto"/>
              <w:ind w:firstLine="0" w:firstLineChars="0"/>
              <w:jc w:val="center"/>
              <w:rPr>
                <w:rFonts w:hint="eastAsia" w:ascii="Times New Roman" w:eastAsiaTheme="minorEastAsia"/>
                <w:color w:val="auto"/>
                <w:sz w:val="21"/>
                <w:lang w:eastAsia="zh-CN"/>
              </w:rPr>
            </w:pPr>
            <w:r>
              <w:rPr>
                <w:rFonts w:hint="eastAsia" w:ascii="Times New Roman" w:eastAsiaTheme="minorEastAsia"/>
                <w:color w:val="auto"/>
                <w:sz w:val="21"/>
                <w:lang w:eastAsia="zh-CN"/>
              </w:rPr>
              <w:drawing>
                <wp:inline distT="0" distB="0" distL="114300" distR="114300">
                  <wp:extent cx="3533140" cy="2708910"/>
                  <wp:effectExtent l="0" t="0" r="10160" b="15240"/>
                  <wp:docPr id="1" name="图片 1" descr="1111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111111111111"/>
                          <pic:cNvPicPr>
                            <a:picLocks noChangeAspect="1"/>
                          </pic:cNvPicPr>
                        </pic:nvPicPr>
                        <pic:blipFill>
                          <a:blip r:embed="rId10"/>
                          <a:stretch>
                            <a:fillRect/>
                          </a:stretch>
                        </pic:blipFill>
                        <pic:spPr>
                          <a:xfrm>
                            <a:off x="0" y="0"/>
                            <a:ext cx="3533140" cy="2708910"/>
                          </a:xfrm>
                          <a:prstGeom prst="rect">
                            <a:avLst/>
                          </a:prstGeom>
                        </pic:spPr>
                      </pic:pic>
                    </a:graphicData>
                  </a:graphic>
                </wp:inline>
              </w:drawing>
            </w:r>
          </w:p>
          <w:p w14:paraId="3A7E6A5B">
            <w:pPr>
              <w:pStyle w:val="41"/>
              <w:spacing w:line="336" w:lineRule="auto"/>
              <w:ind w:firstLine="0" w:firstLineChars="0"/>
              <w:jc w:val="center"/>
              <w:rPr>
                <w:rFonts w:ascii="Times New Roman"/>
                <w:color w:val="auto"/>
                <w:sz w:val="21"/>
                <w:highlight w:val="yellow"/>
              </w:rPr>
            </w:pPr>
            <w:r>
              <w:rPr>
                <w:rFonts w:hint="eastAsia" w:ascii="Times New Roman"/>
                <w:color w:val="auto"/>
                <w:sz w:val="21"/>
                <w:highlight w:val="yellow"/>
              </w:rPr>
              <w:t>项目水平衡图（单位：t/d）</w:t>
            </w:r>
          </w:p>
          <w:p w14:paraId="22C7C383">
            <w:pPr>
              <w:pStyle w:val="41"/>
              <w:spacing w:after="0"/>
              <w:ind w:firstLine="0" w:firstLineChars="0"/>
              <w:rPr>
                <w:rFonts w:ascii="Times New Roman"/>
                <w:color w:val="auto"/>
                <w:sz w:val="21"/>
              </w:rPr>
            </w:pPr>
            <w:r>
              <w:rPr>
                <w:rFonts w:hint="eastAsia" w:ascii="Times New Roman"/>
                <w:color w:val="auto"/>
                <w:sz w:val="21"/>
              </w:rPr>
              <w:t>3.5.3</w:t>
            </w:r>
            <w:r>
              <w:rPr>
                <w:rFonts w:ascii="Times New Roman"/>
                <w:color w:val="auto"/>
                <w:sz w:val="21"/>
              </w:rPr>
              <w:t>供热</w:t>
            </w:r>
          </w:p>
          <w:p w14:paraId="3E69704A">
            <w:pPr>
              <w:adjustRightInd w:val="0"/>
              <w:snapToGrid w:val="0"/>
              <w:spacing w:line="360" w:lineRule="auto"/>
              <w:ind w:firstLine="420" w:firstLineChars="200"/>
              <w:rPr>
                <w:bCs/>
                <w:color w:val="auto"/>
              </w:rPr>
            </w:pPr>
            <w:r>
              <w:rPr>
                <w:rFonts w:hint="eastAsia"/>
                <w:color w:val="auto"/>
              </w:rPr>
              <w:t>项目冬季不生产，值班人员供热由电取暖设施解决</w:t>
            </w:r>
            <w:r>
              <w:rPr>
                <w:rFonts w:hAnsiTheme="minorHAnsi" w:eastAsiaTheme="minorEastAsia" w:cstheme="minorBidi"/>
                <w:color w:val="auto"/>
                <w:spacing w:val="6"/>
              </w:rPr>
              <w:t>。</w:t>
            </w:r>
          </w:p>
          <w:p w14:paraId="26CF8FB8">
            <w:pPr>
              <w:adjustRightInd w:val="0"/>
              <w:snapToGrid w:val="0"/>
              <w:spacing w:line="360" w:lineRule="auto"/>
              <w:rPr>
                <w:bCs/>
                <w:color w:val="auto"/>
              </w:rPr>
            </w:pPr>
            <w:r>
              <w:rPr>
                <w:rFonts w:hint="eastAsia"/>
                <w:color w:val="auto"/>
              </w:rPr>
              <w:t>3.5.4</w:t>
            </w:r>
            <w:r>
              <w:rPr>
                <w:color w:val="auto"/>
              </w:rPr>
              <w:t>供电</w:t>
            </w:r>
          </w:p>
          <w:p w14:paraId="1DDD57F7">
            <w:pPr>
              <w:adjustRightInd w:val="0"/>
              <w:snapToGrid w:val="0"/>
              <w:spacing w:line="360" w:lineRule="auto"/>
              <w:ind w:firstLine="525" w:firstLineChars="250"/>
              <w:rPr>
                <w:color w:val="auto"/>
              </w:rPr>
            </w:pPr>
            <w:r>
              <w:rPr>
                <w:rFonts w:hint="eastAsia"/>
                <w:color w:val="auto"/>
              </w:rPr>
              <w:t>项目用电为石人镇电网进行供电</w:t>
            </w:r>
            <w:r>
              <w:rPr>
                <w:color w:val="auto"/>
              </w:rPr>
              <w:t>。</w:t>
            </w:r>
          </w:p>
          <w:p w14:paraId="07BF7C1B">
            <w:pPr>
              <w:adjustRightInd w:val="0"/>
              <w:snapToGrid w:val="0"/>
              <w:spacing w:line="336" w:lineRule="auto"/>
              <w:rPr>
                <w:color w:val="auto"/>
              </w:rPr>
            </w:pPr>
            <w:r>
              <w:rPr>
                <w:color w:val="auto"/>
              </w:rPr>
              <w:t>4</w:t>
            </w:r>
            <w:r>
              <w:rPr>
                <w:rFonts w:hint="eastAsia"/>
                <w:color w:val="auto"/>
              </w:rPr>
              <w:t>、</w:t>
            </w:r>
            <w:r>
              <w:rPr>
                <w:color w:val="auto"/>
              </w:rPr>
              <w:t>劳动定员及工作制度</w:t>
            </w:r>
          </w:p>
          <w:p w14:paraId="106C93A6">
            <w:pPr>
              <w:adjustRightInd w:val="0"/>
              <w:snapToGrid w:val="0"/>
              <w:spacing w:line="360" w:lineRule="auto"/>
              <w:ind w:firstLine="480"/>
              <w:rPr>
                <w:color w:val="auto"/>
              </w:rPr>
            </w:pPr>
            <w:r>
              <w:rPr>
                <w:color w:val="auto"/>
              </w:rPr>
              <w:t>本项目定员</w:t>
            </w:r>
            <w:r>
              <w:rPr>
                <w:rFonts w:hint="eastAsia"/>
                <w:color w:val="auto"/>
              </w:rPr>
              <w:t>10人，二班制，每班8h，年工作2</w:t>
            </w:r>
            <w:r>
              <w:rPr>
                <w:color w:val="auto"/>
              </w:rPr>
              <w:t>0</w:t>
            </w:r>
            <w:r>
              <w:rPr>
                <w:rFonts w:hint="eastAsia"/>
                <w:color w:val="auto"/>
              </w:rPr>
              <w:t>0d，不设食堂，就餐订餐解决。</w:t>
            </w:r>
          </w:p>
          <w:p w14:paraId="7F08794F">
            <w:pPr>
              <w:adjustRightInd w:val="0"/>
              <w:snapToGrid w:val="0"/>
              <w:spacing w:line="336" w:lineRule="auto"/>
              <w:rPr>
                <w:color w:val="auto"/>
              </w:rPr>
            </w:pPr>
            <w:r>
              <w:rPr>
                <w:color w:val="auto"/>
              </w:rPr>
              <w:t>5</w:t>
            </w:r>
            <w:r>
              <w:rPr>
                <w:rFonts w:hint="eastAsia"/>
                <w:color w:val="auto"/>
              </w:rPr>
              <w:t>、</w:t>
            </w:r>
            <w:r>
              <w:rPr>
                <w:color w:val="auto"/>
              </w:rPr>
              <w:t>项目建设期</w:t>
            </w:r>
          </w:p>
          <w:p w14:paraId="02335039">
            <w:pPr>
              <w:adjustRightInd w:val="0"/>
              <w:snapToGrid w:val="0"/>
              <w:spacing w:line="360" w:lineRule="auto"/>
              <w:ind w:firstLine="480"/>
              <w:rPr>
                <w:rFonts w:cs="宋体"/>
                <w:color w:val="auto"/>
              </w:rPr>
            </w:pPr>
            <w:r>
              <w:rPr>
                <w:color w:val="auto"/>
              </w:rPr>
              <w:t>20</w:t>
            </w:r>
            <w:r>
              <w:rPr>
                <w:rFonts w:hint="eastAsia"/>
                <w:color w:val="auto"/>
              </w:rPr>
              <w:t>24</w:t>
            </w:r>
            <w:r>
              <w:rPr>
                <w:rFonts w:hint="eastAsia" w:cs="宋体"/>
                <w:color w:val="auto"/>
              </w:rPr>
              <w:t>年9</w:t>
            </w:r>
            <w:r>
              <w:rPr>
                <w:color w:val="auto"/>
              </w:rPr>
              <w:t>月</w:t>
            </w:r>
            <w:r>
              <w:rPr>
                <w:rFonts w:hint="eastAsia"/>
                <w:color w:val="auto"/>
              </w:rPr>
              <w:t>-2</w:t>
            </w:r>
            <w:r>
              <w:rPr>
                <w:color w:val="auto"/>
              </w:rPr>
              <w:t>0</w:t>
            </w:r>
            <w:r>
              <w:rPr>
                <w:rFonts w:hint="eastAsia"/>
                <w:color w:val="auto"/>
              </w:rPr>
              <w:t>24</w:t>
            </w:r>
            <w:r>
              <w:rPr>
                <w:rFonts w:hint="eastAsia" w:cs="宋体"/>
                <w:color w:val="auto"/>
              </w:rPr>
              <w:t>年</w:t>
            </w:r>
            <w:r>
              <w:rPr>
                <w:rFonts w:cs="宋体"/>
                <w:color w:val="auto"/>
              </w:rPr>
              <w:t>10</w:t>
            </w:r>
            <w:r>
              <w:rPr>
                <w:rFonts w:hint="eastAsia" w:cs="宋体"/>
                <w:color w:val="auto"/>
              </w:rPr>
              <w:t>月。</w:t>
            </w:r>
          </w:p>
          <w:p w14:paraId="6BCB5D1D">
            <w:pPr>
              <w:adjustRightInd w:val="0"/>
              <w:snapToGrid w:val="0"/>
              <w:spacing w:line="336" w:lineRule="auto"/>
              <w:rPr>
                <w:color w:val="auto"/>
              </w:rPr>
            </w:pPr>
            <w:r>
              <w:rPr>
                <w:color w:val="auto"/>
              </w:rPr>
              <w:t>6</w:t>
            </w:r>
            <w:r>
              <w:rPr>
                <w:rFonts w:hint="eastAsia"/>
                <w:color w:val="auto"/>
              </w:rPr>
              <w:t>、</w:t>
            </w:r>
            <w:r>
              <w:rPr>
                <w:color w:val="auto"/>
              </w:rPr>
              <w:t>项目平面布置情况</w:t>
            </w:r>
          </w:p>
          <w:p w14:paraId="28134920">
            <w:pPr>
              <w:adjustRightInd w:val="0"/>
              <w:snapToGrid w:val="0"/>
              <w:spacing w:line="336" w:lineRule="auto"/>
              <w:ind w:firstLine="420" w:firstLineChars="200"/>
              <w:jc w:val="left"/>
              <w:rPr>
                <w:rFonts w:hAnsi="宋体"/>
                <w:bCs/>
                <w:color w:val="auto"/>
              </w:rPr>
            </w:pPr>
            <w:r>
              <w:rPr>
                <w:rFonts w:hint="eastAsia" w:hAnsi="宋体"/>
                <w:bCs/>
                <w:color w:val="auto"/>
              </w:rPr>
              <w:t>项目租赁区域占地面积6000m</w:t>
            </w:r>
            <w:r>
              <w:rPr>
                <w:rFonts w:hint="eastAsia" w:hAnsi="宋体"/>
                <w:bCs/>
                <w:color w:val="auto"/>
                <w:vertAlign w:val="superscript"/>
              </w:rPr>
              <w:t>2</w:t>
            </w:r>
            <w:r>
              <w:rPr>
                <w:rFonts w:hint="eastAsia" w:hAnsi="宋体"/>
                <w:bCs/>
                <w:color w:val="auto"/>
              </w:rPr>
              <w:t>，涉及1栋生产厂房，建筑面积750m</w:t>
            </w:r>
            <w:r>
              <w:rPr>
                <w:rFonts w:hint="eastAsia" w:hAnsi="宋体"/>
                <w:bCs/>
                <w:color w:val="auto"/>
                <w:vertAlign w:val="superscript"/>
              </w:rPr>
              <w:t>2</w:t>
            </w:r>
            <w:r>
              <w:rPr>
                <w:rFonts w:hint="eastAsia" w:hAnsi="宋体"/>
                <w:bCs/>
                <w:color w:val="auto"/>
              </w:rPr>
              <w:t>；办公用房建筑面积120m</w:t>
            </w:r>
            <w:r>
              <w:rPr>
                <w:rFonts w:hint="eastAsia" w:hAnsi="宋体"/>
                <w:bCs/>
                <w:color w:val="auto"/>
                <w:vertAlign w:val="superscript"/>
              </w:rPr>
              <w:t>2</w:t>
            </w:r>
            <w:r>
              <w:rPr>
                <w:rFonts w:hint="eastAsia" w:hAnsi="宋体"/>
                <w:bCs/>
                <w:color w:val="auto"/>
              </w:rPr>
              <w:t>；各建筑物现状为闲置状态，厂房内部已经进行硬化。</w:t>
            </w:r>
          </w:p>
          <w:p w14:paraId="3BF6731E">
            <w:pPr>
              <w:adjustRightInd w:val="0"/>
              <w:snapToGrid w:val="0"/>
              <w:spacing w:line="336" w:lineRule="auto"/>
              <w:ind w:firstLine="420" w:firstLineChars="200"/>
              <w:jc w:val="left"/>
              <w:rPr>
                <w:rFonts w:hAnsi="宋体"/>
                <w:bCs/>
                <w:color w:val="auto"/>
              </w:rPr>
            </w:pPr>
            <w:r>
              <w:rPr>
                <w:rFonts w:hint="eastAsia" w:hAnsi="宋体"/>
                <w:bCs/>
                <w:color w:val="auto"/>
              </w:rPr>
              <w:t>生产厂房位于租赁区域的东侧，原料堆场位于生产厂房的北侧，厂区平面布置按照满足生产工艺要求，考虑合理的功能分区，结合地形地貌布置紧凑、节约用地，并符合环保、防火、卫生规范及各种安全规定和要求。</w:t>
            </w:r>
          </w:p>
          <w:p w14:paraId="10615D81">
            <w:pPr>
              <w:adjustRightInd w:val="0"/>
              <w:snapToGrid w:val="0"/>
              <w:spacing w:line="336" w:lineRule="auto"/>
              <w:ind w:firstLine="315" w:firstLineChars="150"/>
              <w:jc w:val="left"/>
              <w:rPr>
                <w:rFonts w:hAnsi="宋体"/>
                <w:bCs/>
                <w:color w:val="auto"/>
              </w:rPr>
            </w:pPr>
            <w:r>
              <w:rPr>
                <w:rFonts w:hint="eastAsia" w:hAnsi="宋体"/>
                <w:bCs/>
                <w:color w:val="auto"/>
                <w:lang w:val="zh-CN"/>
              </w:rPr>
              <w:t>厂区总平面布置详见附图2。</w:t>
            </w:r>
          </w:p>
        </w:tc>
      </w:tr>
      <w:tr w14:paraId="35F3DD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4" w:hRule="atLeast"/>
          <w:jc w:val="center"/>
        </w:trPr>
        <w:tc>
          <w:tcPr>
            <w:tcW w:w="675" w:type="dxa"/>
            <w:vAlign w:val="center"/>
          </w:tcPr>
          <w:p w14:paraId="2C5D174E">
            <w:pPr>
              <w:pStyle w:val="21"/>
              <w:adjustRightInd w:val="0"/>
              <w:snapToGrid w:val="0"/>
              <w:spacing w:before="0" w:beforeAutospacing="0" w:after="0" w:afterAutospacing="0"/>
              <w:jc w:val="center"/>
              <w:rPr>
                <w:rFonts w:cs="宋体"/>
                <w:color w:val="auto"/>
                <w:sz w:val="21"/>
                <w:szCs w:val="21"/>
              </w:rPr>
            </w:pPr>
            <w:r>
              <w:rPr>
                <w:rFonts w:hint="eastAsia" w:cs="宋体"/>
                <w:color w:val="auto"/>
                <w:sz w:val="21"/>
                <w:szCs w:val="21"/>
              </w:rPr>
              <w:t>工艺流程和产排污环节</w:t>
            </w:r>
          </w:p>
        </w:tc>
        <w:tc>
          <w:tcPr>
            <w:tcW w:w="8385" w:type="dxa"/>
          </w:tcPr>
          <w:p w14:paraId="7D5A8173">
            <w:pPr>
              <w:adjustRightInd w:val="0"/>
              <w:snapToGrid w:val="0"/>
              <w:spacing w:beforeLines="50" w:line="360" w:lineRule="auto"/>
              <w:rPr>
                <w:color w:val="auto"/>
              </w:rPr>
            </w:pPr>
            <w:r>
              <w:rPr>
                <w:rFonts w:hint="eastAsia"/>
                <w:color w:val="auto"/>
              </w:rPr>
              <w:t>1、工艺流程</w:t>
            </w:r>
          </w:p>
          <w:p w14:paraId="3BF77FF4">
            <w:pPr>
              <w:tabs>
                <w:tab w:val="left" w:pos="1265"/>
                <w:tab w:val="center" w:pos="4393"/>
              </w:tabs>
              <w:adjustRightInd w:val="0"/>
              <w:snapToGrid w:val="0"/>
              <w:spacing w:line="360" w:lineRule="auto"/>
              <w:ind w:firstLine="411" w:firstLineChars="196"/>
              <w:rPr>
                <w:color w:val="auto"/>
              </w:rPr>
            </w:pPr>
            <w:r>
              <w:rPr>
                <w:color w:val="auto"/>
              </w:rPr>
              <w:t>（1）原料采用运输货车运输</w:t>
            </w:r>
            <w:r>
              <w:rPr>
                <w:rFonts w:hint="eastAsia"/>
                <w:color w:val="auto"/>
              </w:rPr>
              <w:t>进场</w:t>
            </w:r>
            <w:r>
              <w:rPr>
                <w:color w:val="auto"/>
              </w:rPr>
              <w:t>，货车采用自卸方式卸入堆场，卸车前采取水喷淋措施增加石料湿度，堆场采用苫布苫盖。此过程产生运输、装卸、堆存粉尘和噪声。</w:t>
            </w:r>
          </w:p>
          <w:p w14:paraId="43E5FF3E">
            <w:pPr>
              <w:tabs>
                <w:tab w:val="left" w:pos="1265"/>
                <w:tab w:val="center" w:pos="4393"/>
              </w:tabs>
              <w:adjustRightInd w:val="0"/>
              <w:snapToGrid w:val="0"/>
              <w:spacing w:line="360" w:lineRule="auto"/>
              <w:ind w:firstLine="411" w:firstLineChars="196"/>
              <w:rPr>
                <w:i/>
                <w:iCs/>
                <w:color w:val="auto"/>
                <w:highlight w:val="none"/>
                <w:u w:val="single"/>
              </w:rPr>
            </w:pPr>
            <w:r>
              <w:rPr>
                <w:color w:val="auto"/>
              </w:rPr>
              <w:t>（2）破碎：石料首先经颚式破碎机粗破，粗破后的石料经由密闭皮带输送机送入</w:t>
            </w:r>
            <w:r>
              <w:rPr>
                <w:rFonts w:hint="eastAsia"/>
                <w:color w:val="auto"/>
              </w:rPr>
              <w:t>锤式破碎机</w:t>
            </w:r>
            <w:r>
              <w:rPr>
                <w:color w:val="auto"/>
              </w:rPr>
              <w:t>进行二次破碎。</w:t>
            </w:r>
            <w:r>
              <w:rPr>
                <w:i/>
                <w:iCs/>
                <w:color w:val="auto"/>
                <w:highlight w:val="none"/>
                <w:u w:val="single"/>
              </w:rPr>
              <w:t>破碎机均位于封闭</w:t>
            </w:r>
            <w:r>
              <w:rPr>
                <w:rFonts w:hint="eastAsia"/>
                <w:i/>
                <w:iCs/>
                <w:color w:val="auto"/>
                <w:highlight w:val="none"/>
                <w:u w:val="single"/>
              </w:rPr>
              <w:t>厂房</w:t>
            </w:r>
            <w:r>
              <w:rPr>
                <w:i/>
                <w:iCs/>
                <w:color w:val="auto"/>
                <w:highlight w:val="none"/>
                <w:u w:val="single"/>
              </w:rPr>
              <w:t>内，破碎过程采取</w:t>
            </w:r>
            <w:r>
              <w:rPr>
                <w:rFonts w:hint="eastAsia"/>
                <w:i/>
                <w:iCs/>
                <w:color w:val="auto"/>
                <w:highlight w:val="none"/>
                <w:u w:val="single"/>
                <w:lang w:val="en-US" w:eastAsia="zh-CN"/>
              </w:rPr>
              <w:t>密闭设备，废气集中收集布袋除尘器进行处理，处理后的废气通过15m高排气筒排放</w:t>
            </w:r>
            <w:r>
              <w:rPr>
                <w:i/>
                <w:iCs/>
                <w:color w:val="auto"/>
                <w:highlight w:val="none"/>
                <w:u w:val="single"/>
              </w:rPr>
              <w:t>。此过程产生粉尘和噪声。</w:t>
            </w:r>
          </w:p>
          <w:p w14:paraId="46D6DDC2">
            <w:pPr>
              <w:tabs>
                <w:tab w:val="left" w:pos="1265"/>
                <w:tab w:val="center" w:pos="4393"/>
              </w:tabs>
              <w:adjustRightInd w:val="0"/>
              <w:snapToGrid w:val="0"/>
              <w:spacing w:line="360" w:lineRule="auto"/>
              <w:ind w:firstLine="411" w:firstLineChars="196"/>
              <w:rPr>
                <w:color w:val="auto"/>
              </w:rPr>
            </w:pPr>
            <w:r>
              <w:rPr>
                <w:color w:val="auto"/>
              </w:rPr>
              <w:t>（</w:t>
            </w:r>
            <w:r>
              <w:rPr>
                <w:rFonts w:hint="eastAsia"/>
                <w:color w:val="auto"/>
              </w:rPr>
              <w:t>3</w:t>
            </w:r>
            <w:r>
              <w:rPr>
                <w:color w:val="auto"/>
              </w:rPr>
              <w:t>）筛分</w:t>
            </w:r>
          </w:p>
          <w:p w14:paraId="5EA9B29C">
            <w:pPr>
              <w:tabs>
                <w:tab w:val="left" w:pos="1265"/>
                <w:tab w:val="center" w:pos="4393"/>
              </w:tabs>
              <w:adjustRightInd w:val="0"/>
              <w:snapToGrid w:val="0"/>
              <w:spacing w:line="360" w:lineRule="auto"/>
              <w:ind w:firstLine="411" w:firstLineChars="196"/>
              <w:rPr>
                <w:color w:val="auto"/>
              </w:rPr>
            </w:pPr>
            <w:r>
              <w:rPr>
                <w:color w:val="auto"/>
              </w:rPr>
              <w:t>经</w:t>
            </w:r>
            <w:r>
              <w:rPr>
                <w:rFonts w:hint="eastAsia"/>
                <w:color w:val="auto"/>
              </w:rPr>
              <w:t>破碎</w:t>
            </w:r>
            <w:r>
              <w:rPr>
                <w:color w:val="auto"/>
              </w:rPr>
              <w:t>后砂石经输送带送入</w:t>
            </w:r>
            <w:r>
              <w:rPr>
                <w:rFonts w:hint="eastAsia"/>
                <w:color w:val="auto"/>
              </w:rPr>
              <w:t>滚笼筛</w:t>
            </w:r>
            <w:r>
              <w:rPr>
                <w:color w:val="auto"/>
              </w:rPr>
              <w:t>，粒径&lt;4.75mm的沙子进入洗砂工序，不合格石料返回</w:t>
            </w:r>
            <w:r>
              <w:rPr>
                <w:rFonts w:hint="eastAsia"/>
                <w:color w:val="auto"/>
              </w:rPr>
              <w:t>破碎</w:t>
            </w:r>
            <w:r>
              <w:rPr>
                <w:color w:val="auto"/>
              </w:rPr>
              <w:t>工序，筛分工序通</w:t>
            </w:r>
            <w:r>
              <w:rPr>
                <w:rFonts w:hint="eastAsia"/>
                <w:color w:val="auto"/>
              </w:rPr>
              <w:t>过水</w:t>
            </w:r>
            <w:r>
              <w:rPr>
                <w:color w:val="auto"/>
              </w:rPr>
              <w:t>流，故此过程仅有噪声及废水产生，废水排入</w:t>
            </w:r>
            <w:r>
              <w:rPr>
                <w:rFonts w:hint="eastAsia"/>
                <w:color w:val="auto"/>
              </w:rPr>
              <w:t>水罐内进行沉淀，上清液进入清水池，回用生产；水罐下有专门的排泥口，沉淀污泥通过排泥口排出，采用履带式压滤机进行脱水，脱水的泥饼含水率小于60%，分离出来的水回流入水罐内</w:t>
            </w:r>
            <w:r>
              <w:rPr>
                <w:color w:val="auto"/>
              </w:rPr>
              <w:t>。</w:t>
            </w:r>
          </w:p>
          <w:p w14:paraId="1E1C74C9">
            <w:pPr>
              <w:tabs>
                <w:tab w:val="left" w:pos="1265"/>
                <w:tab w:val="center" w:pos="4393"/>
              </w:tabs>
              <w:adjustRightInd w:val="0"/>
              <w:snapToGrid w:val="0"/>
              <w:spacing w:line="360" w:lineRule="auto"/>
              <w:ind w:firstLine="411" w:firstLineChars="196"/>
              <w:rPr>
                <w:color w:val="auto"/>
              </w:rPr>
            </w:pPr>
            <w:r>
              <w:rPr>
                <w:color w:val="auto"/>
              </w:rPr>
              <w:t>（</w:t>
            </w:r>
            <w:r>
              <w:rPr>
                <w:rFonts w:hint="eastAsia"/>
                <w:color w:val="auto"/>
              </w:rPr>
              <w:t>4</w:t>
            </w:r>
            <w:r>
              <w:rPr>
                <w:color w:val="auto"/>
              </w:rPr>
              <w:t>）洗砂</w:t>
            </w:r>
          </w:p>
          <w:p w14:paraId="15F921F9">
            <w:pPr>
              <w:adjustRightInd w:val="0"/>
              <w:snapToGrid w:val="0"/>
              <w:spacing w:line="360" w:lineRule="auto"/>
              <w:ind w:firstLine="420" w:firstLineChars="200"/>
              <w:rPr>
                <w:i/>
                <w:iCs/>
                <w:color w:val="auto"/>
                <w:u w:val="single"/>
              </w:rPr>
            </w:pPr>
            <w:r>
              <w:rPr>
                <w:color w:val="auto"/>
              </w:rPr>
              <w:t>筛选产生的合格沙粒经传送带输送至</w:t>
            </w:r>
            <w:r>
              <w:rPr>
                <w:rFonts w:hint="eastAsia"/>
                <w:color w:val="auto"/>
              </w:rPr>
              <w:t>捞沙机进行洗砂</w:t>
            </w:r>
            <w:r>
              <w:rPr>
                <w:color w:val="auto"/>
              </w:rPr>
              <w:t>，在</w:t>
            </w:r>
            <w:r>
              <w:rPr>
                <w:rFonts w:hint="eastAsia"/>
                <w:color w:val="auto"/>
              </w:rPr>
              <w:t>捞沙机</w:t>
            </w:r>
            <w:r>
              <w:rPr>
                <w:color w:val="auto"/>
              </w:rPr>
              <w:t>的带动下翻滚，并相互摩擦，去除沙粒表面杂质。干净的机制砂</w:t>
            </w:r>
            <w:r>
              <w:rPr>
                <w:rFonts w:hint="eastAsia"/>
                <w:color w:val="auto"/>
              </w:rPr>
              <w:t>经脱水筛脱水后</w:t>
            </w:r>
            <w:r>
              <w:rPr>
                <w:color w:val="auto"/>
              </w:rPr>
              <w:t>经传送带输送至成品堆场</w:t>
            </w:r>
            <w:r>
              <w:rPr>
                <w:rFonts w:hint="eastAsia"/>
                <w:color w:val="auto"/>
              </w:rPr>
              <w:t>，成品堆场地面硬化处理，采用苫布遮盖，装卸过程采用水喷淋措施</w:t>
            </w:r>
            <w:r>
              <w:rPr>
                <w:color w:val="auto"/>
              </w:rPr>
              <w:t>。此过程有废水及噪声产生，废水排入</w:t>
            </w:r>
            <w:r>
              <w:rPr>
                <w:rFonts w:hint="eastAsia"/>
                <w:color w:val="auto"/>
              </w:rPr>
              <w:t>水罐内</w:t>
            </w:r>
            <w:r>
              <w:rPr>
                <w:color w:val="auto"/>
              </w:rPr>
              <w:t>。</w:t>
            </w:r>
          </w:p>
          <w:p w14:paraId="1BE665C2">
            <w:pPr>
              <w:adjustRightInd w:val="0"/>
              <w:snapToGrid w:val="0"/>
              <w:spacing w:line="360" w:lineRule="auto"/>
              <w:ind w:firstLine="420" w:firstLineChars="200"/>
              <w:rPr>
                <w:color w:val="auto"/>
              </w:rPr>
            </w:pPr>
            <w:r>
              <w:rPr>
                <w:color w:val="auto"/>
              </w:rPr>
              <w:t>本项目生产工艺及产排污节点详见下图。</w:t>
            </w:r>
          </w:p>
          <w:p w14:paraId="11D91A8A">
            <w:pPr>
              <w:adjustRightInd w:val="0"/>
              <w:snapToGrid w:val="0"/>
              <w:spacing w:line="360" w:lineRule="auto"/>
              <w:jc w:val="center"/>
              <w:rPr>
                <w:color w:val="auto"/>
              </w:rPr>
            </w:pPr>
            <w:r>
              <w:rPr>
                <w:color w:val="auto"/>
              </w:rPr>
              <w:drawing>
                <wp:inline distT="0" distB="0" distL="114300" distR="114300">
                  <wp:extent cx="5405120" cy="1948815"/>
                  <wp:effectExtent l="0" t="0" r="5080" b="13335"/>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pic:cNvPicPr>
                            <a:picLocks noChangeAspect="1"/>
                          </pic:cNvPicPr>
                        </pic:nvPicPr>
                        <pic:blipFill>
                          <a:blip r:embed="rId11"/>
                          <a:stretch>
                            <a:fillRect/>
                          </a:stretch>
                        </pic:blipFill>
                        <pic:spPr>
                          <a:xfrm>
                            <a:off x="0" y="0"/>
                            <a:ext cx="5405120" cy="1948815"/>
                          </a:xfrm>
                          <a:prstGeom prst="rect">
                            <a:avLst/>
                          </a:prstGeom>
                          <a:noFill/>
                          <a:ln>
                            <a:noFill/>
                          </a:ln>
                        </pic:spPr>
                      </pic:pic>
                    </a:graphicData>
                  </a:graphic>
                </wp:inline>
              </w:drawing>
            </w:r>
          </w:p>
          <w:p w14:paraId="346024A0">
            <w:pPr>
              <w:pStyle w:val="20"/>
              <w:ind w:left="0" w:leftChars="0"/>
              <w:jc w:val="center"/>
              <w:rPr>
                <w:color w:val="auto"/>
                <w:sz w:val="21"/>
              </w:rPr>
            </w:pPr>
            <w:r>
              <w:rPr>
                <w:color w:val="auto"/>
                <w:sz w:val="21"/>
              </w:rPr>
              <w:t>工艺流程及排污节点示意图</w:t>
            </w:r>
          </w:p>
          <w:p w14:paraId="23428BEA">
            <w:pPr>
              <w:adjustRightInd w:val="0"/>
              <w:snapToGrid w:val="0"/>
              <w:spacing w:line="360" w:lineRule="auto"/>
              <w:rPr>
                <w:rFonts w:cs="宋体"/>
                <w:color w:val="auto"/>
              </w:rPr>
            </w:pPr>
            <w:r>
              <w:rPr>
                <w:rFonts w:cs="宋体"/>
                <w:color w:val="auto"/>
              </w:rPr>
              <w:t>2</w:t>
            </w:r>
            <w:r>
              <w:rPr>
                <w:rFonts w:hint="eastAsia" w:cs="宋体"/>
                <w:color w:val="auto"/>
              </w:rPr>
              <w:t>、物料平衡图</w:t>
            </w:r>
          </w:p>
          <w:p w14:paraId="69E30834">
            <w:pPr>
              <w:adjustRightInd w:val="0"/>
              <w:snapToGrid w:val="0"/>
              <w:spacing w:line="360" w:lineRule="auto"/>
              <w:ind w:firstLine="420" w:firstLineChars="200"/>
              <w:rPr>
                <w:color w:val="auto"/>
              </w:rPr>
            </w:pPr>
            <w:r>
              <w:rPr>
                <w:rFonts w:hint="eastAsia" w:hAnsi="宋体"/>
                <w:color w:val="auto"/>
              </w:rPr>
              <w:t>项目物料平衡如下</w:t>
            </w:r>
            <w:r>
              <w:rPr>
                <w:rFonts w:hint="eastAsia"/>
                <w:color w:val="auto"/>
              </w:rPr>
              <w:t>。</w:t>
            </w:r>
          </w:p>
          <w:p w14:paraId="78198654">
            <w:pPr>
              <w:jc w:val="center"/>
              <w:rPr>
                <w:i/>
                <w:iCs/>
                <w:color w:val="auto"/>
                <w:u w:val="single"/>
                <w:lang w:val="zh-CN"/>
              </w:rPr>
            </w:pPr>
            <w:r>
              <w:rPr>
                <w:i/>
                <w:iCs/>
                <w:color w:val="auto"/>
                <w:u w:val="single"/>
                <w:lang w:val="zh-CN"/>
              </w:rPr>
              <w:t>物料平衡表</w:t>
            </w:r>
          </w:p>
          <w:tbl>
            <w:tblPr>
              <w:tblStyle w:val="2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38"/>
              <w:gridCol w:w="1559"/>
              <w:gridCol w:w="2659"/>
              <w:gridCol w:w="1917"/>
            </w:tblGrid>
            <w:tr w14:paraId="20BCF4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97" w:type="dxa"/>
                  <w:gridSpan w:val="2"/>
                  <w:vAlign w:val="center"/>
                </w:tcPr>
                <w:p w14:paraId="38BE44F8">
                  <w:pPr>
                    <w:jc w:val="center"/>
                    <w:rPr>
                      <w:i/>
                      <w:iCs/>
                      <w:color w:val="auto"/>
                      <w:sz w:val="18"/>
                      <w:szCs w:val="18"/>
                      <w:u w:val="single"/>
                    </w:rPr>
                  </w:pPr>
                  <w:r>
                    <w:rPr>
                      <w:i/>
                      <w:iCs/>
                      <w:color w:val="auto"/>
                      <w:sz w:val="18"/>
                      <w:szCs w:val="18"/>
                      <w:u w:val="single"/>
                    </w:rPr>
                    <w:t>投入</w:t>
                  </w:r>
                </w:p>
              </w:tc>
              <w:tc>
                <w:tcPr>
                  <w:tcW w:w="4576" w:type="dxa"/>
                  <w:gridSpan w:val="2"/>
                  <w:vAlign w:val="center"/>
                </w:tcPr>
                <w:p w14:paraId="36CB5D5A">
                  <w:pPr>
                    <w:jc w:val="center"/>
                    <w:rPr>
                      <w:i/>
                      <w:iCs/>
                      <w:color w:val="auto"/>
                      <w:sz w:val="18"/>
                      <w:szCs w:val="18"/>
                      <w:u w:val="single"/>
                    </w:rPr>
                  </w:pPr>
                  <w:r>
                    <w:rPr>
                      <w:i/>
                      <w:iCs/>
                      <w:color w:val="auto"/>
                      <w:sz w:val="18"/>
                      <w:szCs w:val="18"/>
                      <w:u w:val="single"/>
                    </w:rPr>
                    <w:t>产出（t/a）</w:t>
                  </w:r>
                </w:p>
              </w:tc>
            </w:tr>
            <w:tr w14:paraId="56581A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38" w:type="dxa"/>
                  <w:vAlign w:val="center"/>
                </w:tcPr>
                <w:p w14:paraId="6DD962F4">
                  <w:pPr>
                    <w:jc w:val="center"/>
                    <w:rPr>
                      <w:i/>
                      <w:iCs/>
                      <w:color w:val="auto"/>
                      <w:sz w:val="18"/>
                      <w:szCs w:val="18"/>
                      <w:u w:val="single"/>
                    </w:rPr>
                  </w:pPr>
                  <w:r>
                    <w:rPr>
                      <w:i/>
                      <w:iCs/>
                      <w:color w:val="auto"/>
                      <w:sz w:val="18"/>
                      <w:szCs w:val="18"/>
                      <w:u w:val="single"/>
                    </w:rPr>
                    <w:t>原料</w:t>
                  </w:r>
                </w:p>
              </w:tc>
              <w:tc>
                <w:tcPr>
                  <w:tcW w:w="1559" w:type="dxa"/>
                  <w:vAlign w:val="center"/>
                </w:tcPr>
                <w:p w14:paraId="6FB8992B">
                  <w:pPr>
                    <w:jc w:val="center"/>
                    <w:rPr>
                      <w:i/>
                      <w:iCs/>
                      <w:color w:val="auto"/>
                      <w:sz w:val="18"/>
                      <w:szCs w:val="18"/>
                      <w:u w:val="single"/>
                    </w:rPr>
                  </w:pPr>
                  <w:r>
                    <w:rPr>
                      <w:i/>
                      <w:iCs/>
                      <w:color w:val="auto"/>
                      <w:sz w:val="18"/>
                      <w:szCs w:val="18"/>
                      <w:u w:val="single"/>
                    </w:rPr>
                    <w:t>用量（t/a）</w:t>
                  </w:r>
                </w:p>
              </w:tc>
              <w:tc>
                <w:tcPr>
                  <w:tcW w:w="2659" w:type="dxa"/>
                  <w:vAlign w:val="center"/>
                </w:tcPr>
                <w:p w14:paraId="1FEC00CB">
                  <w:pPr>
                    <w:jc w:val="center"/>
                    <w:rPr>
                      <w:i/>
                      <w:iCs/>
                      <w:color w:val="auto"/>
                      <w:sz w:val="18"/>
                      <w:szCs w:val="18"/>
                      <w:u w:val="single"/>
                    </w:rPr>
                  </w:pPr>
                  <w:r>
                    <w:rPr>
                      <w:rFonts w:hint="eastAsia"/>
                      <w:i/>
                      <w:iCs/>
                      <w:color w:val="auto"/>
                      <w:sz w:val="18"/>
                      <w:szCs w:val="18"/>
                      <w:u w:val="single"/>
                    </w:rPr>
                    <w:t>机制砂</w:t>
                  </w:r>
                  <w:r>
                    <w:rPr>
                      <w:i/>
                      <w:iCs/>
                      <w:color w:val="auto"/>
                      <w:sz w:val="18"/>
                      <w:szCs w:val="18"/>
                      <w:u w:val="single"/>
                    </w:rPr>
                    <w:t>产品</w:t>
                  </w:r>
                </w:p>
              </w:tc>
              <w:tc>
                <w:tcPr>
                  <w:tcW w:w="1917" w:type="dxa"/>
                  <w:vAlign w:val="center"/>
                </w:tcPr>
                <w:p w14:paraId="2553663A">
                  <w:pPr>
                    <w:jc w:val="center"/>
                    <w:rPr>
                      <w:i/>
                      <w:iCs/>
                      <w:color w:val="auto"/>
                      <w:sz w:val="18"/>
                      <w:szCs w:val="18"/>
                      <w:u w:val="single"/>
                    </w:rPr>
                  </w:pPr>
                  <w:r>
                    <w:rPr>
                      <w:rFonts w:hint="eastAsia"/>
                      <w:i/>
                      <w:iCs/>
                      <w:color w:val="auto"/>
                      <w:sz w:val="18"/>
                      <w:szCs w:val="18"/>
                      <w:u w:val="single"/>
                    </w:rPr>
                    <w:t>64000</w:t>
                  </w:r>
                </w:p>
              </w:tc>
            </w:tr>
            <w:tr w14:paraId="2304E7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38" w:type="dxa"/>
                  <w:vAlign w:val="center"/>
                </w:tcPr>
                <w:p w14:paraId="518C93B4">
                  <w:pPr>
                    <w:jc w:val="center"/>
                    <w:rPr>
                      <w:i/>
                      <w:iCs/>
                      <w:color w:val="auto"/>
                      <w:sz w:val="18"/>
                      <w:szCs w:val="18"/>
                      <w:u w:val="single"/>
                    </w:rPr>
                  </w:pPr>
                  <w:r>
                    <w:rPr>
                      <w:rFonts w:hint="eastAsia"/>
                      <w:i/>
                      <w:iCs/>
                      <w:color w:val="auto"/>
                      <w:sz w:val="18"/>
                      <w:szCs w:val="18"/>
                      <w:u w:val="single"/>
                    </w:rPr>
                    <w:t>石料</w:t>
                  </w:r>
                </w:p>
              </w:tc>
              <w:tc>
                <w:tcPr>
                  <w:tcW w:w="1559" w:type="dxa"/>
                  <w:vAlign w:val="center"/>
                </w:tcPr>
                <w:p w14:paraId="238B569F">
                  <w:pPr>
                    <w:jc w:val="center"/>
                    <w:rPr>
                      <w:i/>
                      <w:iCs/>
                      <w:color w:val="auto"/>
                      <w:sz w:val="18"/>
                      <w:szCs w:val="18"/>
                      <w:u w:val="single"/>
                    </w:rPr>
                  </w:pPr>
                  <w:r>
                    <w:rPr>
                      <w:rFonts w:hint="eastAsia"/>
                      <w:i/>
                      <w:iCs/>
                      <w:color w:val="auto"/>
                      <w:sz w:val="18"/>
                      <w:szCs w:val="18"/>
                      <w:u w:val="single"/>
                    </w:rPr>
                    <w:t>64500</w:t>
                  </w:r>
                </w:p>
              </w:tc>
              <w:tc>
                <w:tcPr>
                  <w:tcW w:w="2659" w:type="dxa"/>
                  <w:vAlign w:val="center"/>
                </w:tcPr>
                <w:p w14:paraId="1AA9DEC4">
                  <w:pPr>
                    <w:jc w:val="center"/>
                    <w:rPr>
                      <w:i/>
                      <w:iCs/>
                      <w:color w:val="auto"/>
                      <w:sz w:val="18"/>
                      <w:szCs w:val="18"/>
                      <w:u w:val="single"/>
                    </w:rPr>
                  </w:pPr>
                  <w:r>
                    <w:rPr>
                      <w:rFonts w:hint="eastAsia"/>
                      <w:i/>
                      <w:iCs/>
                      <w:color w:val="auto"/>
                      <w:sz w:val="18"/>
                      <w:szCs w:val="18"/>
                      <w:u w:val="single"/>
                    </w:rPr>
                    <w:t>粉尘</w:t>
                  </w:r>
                </w:p>
              </w:tc>
              <w:tc>
                <w:tcPr>
                  <w:tcW w:w="1917" w:type="dxa"/>
                  <w:vAlign w:val="center"/>
                </w:tcPr>
                <w:p w14:paraId="78F5C166">
                  <w:pPr>
                    <w:jc w:val="center"/>
                    <w:rPr>
                      <w:i/>
                      <w:iCs/>
                      <w:color w:val="auto"/>
                      <w:sz w:val="18"/>
                      <w:szCs w:val="18"/>
                      <w:u w:val="single"/>
                    </w:rPr>
                  </w:pPr>
                  <w:r>
                    <w:rPr>
                      <w:rFonts w:hint="eastAsia"/>
                      <w:i/>
                      <w:iCs/>
                      <w:color w:val="auto"/>
                      <w:sz w:val="18"/>
                      <w:szCs w:val="18"/>
                      <w:u w:val="single"/>
                    </w:rPr>
                    <w:t>5.1436</w:t>
                  </w:r>
                </w:p>
              </w:tc>
            </w:tr>
            <w:tr w14:paraId="1E0821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38" w:type="dxa"/>
                  <w:vAlign w:val="center"/>
                </w:tcPr>
                <w:p w14:paraId="2CE36261">
                  <w:pPr>
                    <w:jc w:val="center"/>
                    <w:rPr>
                      <w:i/>
                      <w:iCs/>
                      <w:color w:val="auto"/>
                      <w:sz w:val="18"/>
                      <w:szCs w:val="18"/>
                      <w:u w:val="single"/>
                    </w:rPr>
                  </w:pPr>
                </w:p>
              </w:tc>
              <w:tc>
                <w:tcPr>
                  <w:tcW w:w="1559" w:type="dxa"/>
                  <w:vAlign w:val="center"/>
                </w:tcPr>
                <w:p w14:paraId="4E3463AE">
                  <w:pPr>
                    <w:jc w:val="center"/>
                    <w:rPr>
                      <w:i/>
                      <w:iCs/>
                      <w:color w:val="auto"/>
                      <w:sz w:val="18"/>
                      <w:szCs w:val="18"/>
                      <w:u w:val="single"/>
                    </w:rPr>
                  </w:pPr>
                </w:p>
              </w:tc>
              <w:tc>
                <w:tcPr>
                  <w:tcW w:w="2659" w:type="dxa"/>
                  <w:vAlign w:val="center"/>
                </w:tcPr>
                <w:p w14:paraId="1F71E2CF">
                  <w:pPr>
                    <w:jc w:val="center"/>
                    <w:rPr>
                      <w:i/>
                      <w:iCs/>
                      <w:color w:val="auto"/>
                      <w:sz w:val="18"/>
                      <w:szCs w:val="18"/>
                      <w:u w:val="single"/>
                    </w:rPr>
                  </w:pPr>
                  <w:r>
                    <w:rPr>
                      <w:rFonts w:hint="eastAsia"/>
                      <w:i/>
                      <w:iCs/>
                      <w:color w:val="auto"/>
                      <w:sz w:val="18"/>
                      <w:szCs w:val="18"/>
                      <w:u w:val="single"/>
                    </w:rPr>
                    <w:t>沉淀物</w:t>
                  </w:r>
                </w:p>
              </w:tc>
              <w:tc>
                <w:tcPr>
                  <w:tcW w:w="1917" w:type="dxa"/>
                  <w:vAlign w:val="center"/>
                </w:tcPr>
                <w:p w14:paraId="55284B14">
                  <w:pPr>
                    <w:jc w:val="center"/>
                    <w:rPr>
                      <w:i/>
                      <w:iCs/>
                      <w:color w:val="auto"/>
                      <w:sz w:val="18"/>
                      <w:szCs w:val="18"/>
                      <w:u w:val="single"/>
                    </w:rPr>
                  </w:pPr>
                  <w:r>
                    <w:rPr>
                      <w:rFonts w:hint="eastAsia"/>
                      <w:i/>
                      <w:iCs/>
                      <w:color w:val="auto"/>
                      <w:sz w:val="18"/>
                      <w:szCs w:val="18"/>
                      <w:u w:val="single"/>
                    </w:rPr>
                    <w:t>426.8394</w:t>
                  </w:r>
                </w:p>
              </w:tc>
            </w:tr>
            <w:tr w14:paraId="16116B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38" w:type="dxa"/>
                  <w:vAlign w:val="center"/>
                </w:tcPr>
                <w:p w14:paraId="10CFE2CC">
                  <w:pPr>
                    <w:jc w:val="center"/>
                    <w:rPr>
                      <w:i/>
                      <w:iCs/>
                      <w:color w:val="auto"/>
                      <w:sz w:val="18"/>
                      <w:szCs w:val="18"/>
                      <w:u w:val="single"/>
                    </w:rPr>
                  </w:pPr>
                </w:p>
              </w:tc>
              <w:tc>
                <w:tcPr>
                  <w:tcW w:w="1559" w:type="dxa"/>
                  <w:vAlign w:val="center"/>
                </w:tcPr>
                <w:p w14:paraId="6C2C1A9A">
                  <w:pPr>
                    <w:jc w:val="center"/>
                    <w:rPr>
                      <w:i/>
                      <w:iCs/>
                      <w:color w:val="auto"/>
                      <w:sz w:val="18"/>
                      <w:szCs w:val="18"/>
                      <w:u w:val="single"/>
                    </w:rPr>
                  </w:pPr>
                </w:p>
              </w:tc>
              <w:tc>
                <w:tcPr>
                  <w:tcW w:w="2659" w:type="dxa"/>
                  <w:vAlign w:val="center"/>
                </w:tcPr>
                <w:p w14:paraId="232CC528">
                  <w:pPr>
                    <w:jc w:val="center"/>
                    <w:rPr>
                      <w:i/>
                      <w:iCs/>
                      <w:color w:val="auto"/>
                      <w:sz w:val="18"/>
                      <w:szCs w:val="18"/>
                      <w:u w:val="single"/>
                    </w:rPr>
                  </w:pPr>
                  <w:r>
                    <w:rPr>
                      <w:rFonts w:hint="eastAsia"/>
                      <w:i/>
                      <w:iCs/>
                      <w:color w:val="auto"/>
                      <w:sz w:val="18"/>
                      <w:szCs w:val="18"/>
                      <w:u w:val="single"/>
                    </w:rPr>
                    <w:t>除尘灰</w:t>
                  </w:r>
                </w:p>
              </w:tc>
              <w:tc>
                <w:tcPr>
                  <w:tcW w:w="1917" w:type="dxa"/>
                  <w:vAlign w:val="center"/>
                </w:tcPr>
                <w:p w14:paraId="5916AED3">
                  <w:pPr>
                    <w:jc w:val="center"/>
                    <w:rPr>
                      <w:i/>
                      <w:iCs/>
                      <w:color w:val="auto"/>
                      <w:sz w:val="18"/>
                      <w:szCs w:val="18"/>
                      <w:u w:val="single"/>
                    </w:rPr>
                  </w:pPr>
                  <w:r>
                    <w:rPr>
                      <w:rFonts w:hint="eastAsia"/>
                      <w:i/>
                      <w:iCs/>
                      <w:color w:val="auto"/>
                      <w:sz w:val="18"/>
                      <w:szCs w:val="18"/>
                      <w:u w:val="single"/>
                    </w:rPr>
                    <w:t>68.0170</w:t>
                  </w:r>
                </w:p>
              </w:tc>
            </w:tr>
            <w:tr w14:paraId="609462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38" w:type="dxa"/>
                  <w:vAlign w:val="center"/>
                </w:tcPr>
                <w:p w14:paraId="5906A800">
                  <w:pPr>
                    <w:jc w:val="center"/>
                    <w:rPr>
                      <w:i/>
                      <w:iCs/>
                      <w:color w:val="auto"/>
                      <w:sz w:val="18"/>
                      <w:szCs w:val="18"/>
                      <w:u w:val="single"/>
                    </w:rPr>
                  </w:pPr>
                  <w:r>
                    <w:rPr>
                      <w:i/>
                      <w:iCs/>
                      <w:color w:val="auto"/>
                      <w:sz w:val="18"/>
                      <w:szCs w:val="18"/>
                      <w:u w:val="single"/>
                    </w:rPr>
                    <w:t>合计</w:t>
                  </w:r>
                </w:p>
              </w:tc>
              <w:tc>
                <w:tcPr>
                  <w:tcW w:w="1559" w:type="dxa"/>
                  <w:vAlign w:val="center"/>
                </w:tcPr>
                <w:p w14:paraId="3F7DDC95">
                  <w:pPr>
                    <w:jc w:val="center"/>
                    <w:rPr>
                      <w:i/>
                      <w:iCs/>
                      <w:color w:val="auto"/>
                      <w:sz w:val="18"/>
                      <w:szCs w:val="18"/>
                      <w:u w:val="single"/>
                    </w:rPr>
                  </w:pPr>
                  <w:r>
                    <w:rPr>
                      <w:rFonts w:hint="eastAsia"/>
                      <w:i/>
                      <w:iCs/>
                      <w:color w:val="auto"/>
                      <w:sz w:val="18"/>
                      <w:szCs w:val="18"/>
                      <w:u w:val="single"/>
                    </w:rPr>
                    <w:t>64500</w:t>
                  </w:r>
                </w:p>
              </w:tc>
              <w:tc>
                <w:tcPr>
                  <w:tcW w:w="2659" w:type="dxa"/>
                  <w:vAlign w:val="center"/>
                </w:tcPr>
                <w:p w14:paraId="3A259BCF">
                  <w:pPr>
                    <w:jc w:val="center"/>
                    <w:rPr>
                      <w:i/>
                      <w:iCs/>
                      <w:color w:val="auto"/>
                      <w:sz w:val="18"/>
                      <w:szCs w:val="18"/>
                      <w:u w:val="single"/>
                    </w:rPr>
                  </w:pPr>
                  <w:r>
                    <w:rPr>
                      <w:i/>
                      <w:iCs/>
                      <w:color w:val="auto"/>
                      <w:sz w:val="18"/>
                      <w:szCs w:val="18"/>
                      <w:u w:val="single"/>
                    </w:rPr>
                    <w:t>合计</w:t>
                  </w:r>
                </w:p>
              </w:tc>
              <w:tc>
                <w:tcPr>
                  <w:tcW w:w="1917" w:type="dxa"/>
                  <w:vAlign w:val="center"/>
                </w:tcPr>
                <w:p w14:paraId="39CBD1F8">
                  <w:pPr>
                    <w:jc w:val="center"/>
                    <w:rPr>
                      <w:i/>
                      <w:iCs/>
                      <w:color w:val="auto"/>
                      <w:sz w:val="18"/>
                      <w:szCs w:val="18"/>
                      <w:u w:val="single"/>
                    </w:rPr>
                  </w:pPr>
                  <w:r>
                    <w:rPr>
                      <w:rFonts w:hint="eastAsia"/>
                      <w:i/>
                      <w:iCs/>
                      <w:color w:val="auto"/>
                      <w:sz w:val="18"/>
                      <w:szCs w:val="18"/>
                      <w:u w:val="single"/>
                    </w:rPr>
                    <w:t>64500</w:t>
                  </w:r>
                </w:p>
              </w:tc>
            </w:tr>
          </w:tbl>
          <w:p w14:paraId="5AD7C4D2">
            <w:pPr>
              <w:pStyle w:val="32"/>
              <w:adjustRightInd w:val="0"/>
              <w:snapToGrid w:val="0"/>
              <w:spacing w:line="336" w:lineRule="auto"/>
              <w:ind w:firstLine="0" w:firstLineChars="0"/>
              <w:rPr>
                <w:bCs/>
                <w:color w:val="auto"/>
              </w:rPr>
            </w:pPr>
          </w:p>
        </w:tc>
      </w:tr>
      <w:tr w14:paraId="363AED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675" w:type="dxa"/>
            <w:vAlign w:val="center"/>
          </w:tcPr>
          <w:p w14:paraId="090BECD1">
            <w:pPr>
              <w:pStyle w:val="21"/>
              <w:adjustRightInd w:val="0"/>
              <w:snapToGrid w:val="0"/>
              <w:spacing w:before="0" w:beforeAutospacing="0" w:after="0" w:afterAutospacing="0"/>
              <w:jc w:val="center"/>
              <w:rPr>
                <w:rFonts w:cs="宋体"/>
                <w:color w:val="auto"/>
                <w:sz w:val="21"/>
                <w:szCs w:val="21"/>
              </w:rPr>
            </w:pPr>
            <w:r>
              <w:rPr>
                <w:rFonts w:hint="eastAsia" w:cs="宋体"/>
                <w:bCs/>
                <w:color w:val="auto"/>
                <w:kern w:val="2"/>
                <w:sz w:val="21"/>
                <w:szCs w:val="21"/>
              </w:rPr>
              <w:t>与项目有关的原有环境污染问题</w:t>
            </w:r>
          </w:p>
        </w:tc>
        <w:tc>
          <w:tcPr>
            <w:tcW w:w="8385" w:type="dxa"/>
          </w:tcPr>
          <w:p w14:paraId="3599AA2C">
            <w:pPr>
              <w:snapToGrid w:val="0"/>
              <w:spacing w:beforeLines="50" w:line="360" w:lineRule="auto"/>
              <w:ind w:firstLine="420" w:firstLineChars="200"/>
              <w:rPr>
                <w:rFonts w:cs="宋体"/>
                <w:color w:val="auto"/>
              </w:rPr>
            </w:pPr>
            <w:r>
              <w:rPr>
                <w:rFonts w:hint="eastAsia" w:cs="宋体"/>
                <w:color w:val="auto"/>
              </w:rPr>
              <w:t>本项目为新建项目。</w:t>
            </w:r>
          </w:p>
          <w:p w14:paraId="30C31CD5">
            <w:pPr>
              <w:snapToGrid w:val="0"/>
              <w:spacing w:line="360" w:lineRule="auto"/>
              <w:ind w:firstLine="420" w:firstLineChars="200"/>
              <w:rPr>
                <w:rFonts w:cs="宋体"/>
                <w:color w:val="auto"/>
              </w:rPr>
            </w:pPr>
            <w:r>
              <w:rPr>
                <w:rFonts w:hint="eastAsia" w:cs="宋体"/>
                <w:color w:val="auto"/>
              </w:rPr>
              <w:t>租用</w:t>
            </w:r>
            <w:r>
              <w:rPr>
                <w:rFonts w:hint="eastAsia" w:cs="宋体" w:hAnsiTheme="minorHAnsi" w:eastAsiaTheme="minorEastAsia"/>
                <w:color w:val="auto"/>
              </w:rPr>
              <w:t>白山市江源区江山硅业有限责任公司闲置厂房、空地进行生产，租赁区域总占地面积6000m2，其中：厂房建筑面积为750m</w:t>
            </w:r>
            <w:r>
              <w:rPr>
                <w:rFonts w:hint="eastAsia" w:cs="宋体" w:hAnsiTheme="minorHAnsi" w:eastAsiaTheme="minorEastAsia"/>
                <w:color w:val="auto"/>
                <w:vertAlign w:val="superscript"/>
              </w:rPr>
              <w:t>2</w:t>
            </w:r>
            <w:r>
              <w:rPr>
                <w:rFonts w:hint="eastAsia" w:cs="宋体" w:hAnsiTheme="minorHAnsi" w:eastAsiaTheme="minorEastAsia"/>
                <w:color w:val="auto"/>
              </w:rPr>
              <w:t>，为轻钢结构厂房，高度9m，厂房处于闲置状态，内部地面已经硬化；办公用房建筑面积120m2，为框架结构，为一栋2层建筑，本项目租用2层；租用厂区内已经进行水泥混凝土硬化地面4800m</w:t>
            </w:r>
            <w:r>
              <w:rPr>
                <w:rFonts w:hint="eastAsia" w:cs="宋体" w:hAnsiTheme="minorHAnsi" w:eastAsiaTheme="minorEastAsia"/>
                <w:color w:val="auto"/>
                <w:vertAlign w:val="superscript"/>
              </w:rPr>
              <w:t>2</w:t>
            </w:r>
            <w:r>
              <w:rPr>
                <w:rFonts w:hint="eastAsia" w:cs="宋体" w:hAnsiTheme="minorHAnsi" w:eastAsiaTheme="minorEastAsia"/>
                <w:color w:val="auto"/>
              </w:rPr>
              <w:t>；</w:t>
            </w:r>
            <w:r>
              <w:rPr>
                <w:rFonts w:hint="eastAsia" w:cs="宋体"/>
                <w:color w:val="auto"/>
              </w:rPr>
              <w:t>经过现场勘查，尚未发现与本项目有关的现存环境问题。</w:t>
            </w:r>
          </w:p>
          <w:p w14:paraId="3C589621">
            <w:pPr>
              <w:adjustRightInd w:val="0"/>
              <w:snapToGrid w:val="0"/>
              <w:spacing w:line="360" w:lineRule="auto"/>
              <w:ind w:firstLine="420" w:firstLineChars="200"/>
              <w:rPr>
                <w:rFonts w:hint="eastAsia" w:cs="宋体" w:hAnsiTheme="minorHAnsi" w:eastAsiaTheme="minorEastAsia"/>
                <w:color w:val="auto"/>
              </w:rPr>
            </w:pPr>
            <w:r>
              <w:rPr>
                <w:rFonts w:hint="eastAsia" w:cs="宋体" w:hAnsiTheme="minorHAnsi" w:eastAsiaTheme="minorEastAsia"/>
                <w:color w:val="auto"/>
              </w:rPr>
              <w:t>白山市江源区江山硅业有限责任公司于2011年取得环评批复，《关于白山市江源区江山硅业有限责任公司年产5000吨工业硅粉体出口基地建设项目技术改造项目环境影响报告表的批复》（白山环建字[2011]11号）；后由于出口商品受限，企业近五年一直处于停产状态。</w:t>
            </w:r>
          </w:p>
          <w:p w14:paraId="64D99677">
            <w:pPr>
              <w:adjustRightInd w:val="0"/>
              <w:snapToGrid w:val="0"/>
              <w:spacing w:line="360" w:lineRule="auto"/>
              <w:ind w:firstLine="420" w:firstLineChars="200"/>
              <w:rPr>
                <w:rFonts w:hint="eastAsia" w:cs="宋体" w:hAnsiTheme="minorHAnsi" w:eastAsiaTheme="minorEastAsia"/>
                <w:color w:val="auto"/>
              </w:rPr>
            </w:pPr>
          </w:p>
          <w:p w14:paraId="73F39AA2">
            <w:pPr>
              <w:adjustRightInd w:val="0"/>
              <w:snapToGrid w:val="0"/>
              <w:spacing w:line="360" w:lineRule="auto"/>
              <w:ind w:firstLine="420" w:firstLineChars="200"/>
              <w:rPr>
                <w:rFonts w:hint="eastAsia" w:cs="宋体" w:hAnsiTheme="minorHAnsi" w:eastAsiaTheme="minorEastAsia"/>
                <w:color w:val="auto"/>
              </w:rPr>
            </w:pPr>
          </w:p>
          <w:p w14:paraId="428BCBB2">
            <w:pPr>
              <w:adjustRightInd w:val="0"/>
              <w:snapToGrid w:val="0"/>
              <w:spacing w:line="360" w:lineRule="auto"/>
              <w:ind w:firstLine="420" w:firstLineChars="200"/>
              <w:rPr>
                <w:rFonts w:ascii="宋体" w:hAnsi="宋体"/>
                <w:bCs/>
                <w:color w:val="auto"/>
              </w:rPr>
            </w:pPr>
          </w:p>
        </w:tc>
      </w:tr>
    </w:tbl>
    <w:p w14:paraId="5F75B74B">
      <w:pPr>
        <w:pStyle w:val="21"/>
        <w:jc w:val="center"/>
        <w:rPr>
          <w:rFonts w:ascii="黑体" w:hAnsi="黑体" w:eastAsia="黑体"/>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1F1E2368">
      <w:pPr>
        <w:pStyle w:val="21"/>
        <w:adjustRightInd w:val="0"/>
        <w:snapToGrid w:val="0"/>
        <w:spacing w:before="0" w:beforeAutospacing="0" w:after="0" w:afterAutospacing="0" w:line="14" w:lineRule="auto"/>
        <w:jc w:val="center"/>
        <w:outlineLvl w:val="0"/>
        <w:rPr>
          <w:rFonts w:ascii="黑体" w:hAnsi="黑体" w:eastAsia="黑体"/>
          <w:snapToGrid w:val="0"/>
          <w:color w:val="auto"/>
          <w:sz w:val="30"/>
          <w:szCs w:val="30"/>
        </w:rPr>
      </w:pPr>
    </w:p>
    <w:p w14:paraId="13A9E4A9">
      <w:pPr>
        <w:pStyle w:val="21"/>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三、区域环境质量现状、环境保护目标及评价标准</w:t>
      </w:r>
    </w:p>
    <w:tbl>
      <w:tblPr>
        <w:tblStyle w:val="24"/>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0BB44D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83" w:hRule="atLeast"/>
          <w:jc w:val="center"/>
        </w:trPr>
        <w:tc>
          <w:tcPr>
            <w:tcW w:w="800" w:type="dxa"/>
            <w:vAlign w:val="center"/>
          </w:tcPr>
          <w:p w14:paraId="0C378CE4">
            <w:pPr>
              <w:adjustRightInd w:val="0"/>
              <w:snapToGrid w:val="0"/>
              <w:jc w:val="center"/>
              <w:rPr>
                <w:rFonts w:ascii="宋体" w:hAnsi="宋体" w:cs="宋体"/>
                <w:color w:val="auto"/>
              </w:rPr>
            </w:pPr>
            <w:r>
              <w:rPr>
                <w:rFonts w:hint="eastAsia" w:ascii="宋体" w:hAnsi="宋体" w:cs="宋体"/>
                <w:color w:val="auto"/>
              </w:rPr>
              <w:t>区域</w:t>
            </w:r>
          </w:p>
          <w:p w14:paraId="401B4202">
            <w:pPr>
              <w:adjustRightInd w:val="0"/>
              <w:snapToGrid w:val="0"/>
              <w:jc w:val="center"/>
              <w:rPr>
                <w:rFonts w:ascii="宋体" w:hAnsi="宋体" w:cs="宋体"/>
                <w:color w:val="auto"/>
              </w:rPr>
            </w:pPr>
            <w:r>
              <w:rPr>
                <w:rFonts w:hint="eastAsia" w:ascii="宋体" w:hAnsi="宋体" w:cs="宋体"/>
                <w:color w:val="auto"/>
              </w:rPr>
              <w:t>环境</w:t>
            </w:r>
          </w:p>
          <w:p w14:paraId="36415953">
            <w:pPr>
              <w:adjustRightInd w:val="0"/>
              <w:snapToGrid w:val="0"/>
              <w:jc w:val="center"/>
              <w:rPr>
                <w:rFonts w:ascii="宋体" w:hAnsi="宋体" w:cs="宋体"/>
                <w:color w:val="auto"/>
              </w:rPr>
            </w:pPr>
            <w:r>
              <w:rPr>
                <w:rFonts w:hint="eastAsia" w:ascii="宋体" w:hAnsi="宋体" w:cs="宋体"/>
                <w:color w:val="auto"/>
              </w:rPr>
              <w:t>质量</w:t>
            </w:r>
          </w:p>
          <w:p w14:paraId="6F4EB313">
            <w:pPr>
              <w:adjustRightInd w:val="0"/>
              <w:snapToGrid w:val="0"/>
              <w:jc w:val="center"/>
              <w:rPr>
                <w:rFonts w:ascii="宋体" w:hAnsi="宋体" w:cs="宋体"/>
                <w:color w:val="auto"/>
              </w:rPr>
            </w:pPr>
            <w:r>
              <w:rPr>
                <w:rFonts w:hint="eastAsia" w:ascii="宋体" w:hAnsi="宋体" w:cs="宋体"/>
                <w:color w:val="auto"/>
              </w:rPr>
              <w:t>现状</w:t>
            </w:r>
          </w:p>
        </w:tc>
        <w:tc>
          <w:tcPr>
            <w:tcW w:w="8190" w:type="dxa"/>
            <w:vAlign w:val="center"/>
          </w:tcPr>
          <w:p w14:paraId="2FBA5412">
            <w:pPr>
              <w:adjustRightInd w:val="0"/>
              <w:snapToGrid w:val="0"/>
              <w:spacing w:beforeLines="50" w:line="336" w:lineRule="auto"/>
              <w:ind w:firstLine="420" w:firstLineChars="200"/>
              <w:jc w:val="left"/>
              <w:rPr>
                <w:rFonts w:ascii="宋体" w:hAnsi="宋体" w:cs="宋体"/>
                <w:color w:val="auto"/>
              </w:rPr>
            </w:pPr>
            <w:r>
              <w:rPr>
                <w:rFonts w:hint="eastAsia" w:ascii="宋体" w:hAnsi="宋体" w:cs="宋体"/>
                <w:color w:val="auto"/>
              </w:rPr>
              <w:t>根据《建设项目环境影响报告表编制技术指南》（污染影响类）：</w:t>
            </w:r>
          </w:p>
          <w:p w14:paraId="5C550838">
            <w:pPr>
              <w:adjustRightInd w:val="0"/>
              <w:snapToGrid w:val="0"/>
              <w:spacing w:line="336" w:lineRule="auto"/>
              <w:ind w:firstLine="420" w:firstLineChars="200"/>
              <w:jc w:val="left"/>
              <w:rPr>
                <w:color w:val="auto"/>
              </w:rPr>
            </w:pPr>
            <w:r>
              <w:rPr>
                <w:rFonts w:hint="eastAsia"/>
                <w:color w:val="auto"/>
              </w:rPr>
              <w:t>大气环境。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无相关数据的选择当季主导风向下风向1个点位补充不少于3天的监测数据。</w:t>
            </w:r>
          </w:p>
          <w:p w14:paraId="37FAE092">
            <w:pPr>
              <w:adjustRightInd w:val="0"/>
              <w:snapToGrid w:val="0"/>
              <w:spacing w:line="336" w:lineRule="auto"/>
              <w:ind w:firstLine="420" w:firstLineChars="200"/>
              <w:jc w:val="left"/>
              <w:rPr>
                <w:color w:val="auto"/>
              </w:rPr>
            </w:pPr>
            <w:r>
              <w:rPr>
                <w:rFonts w:hint="eastAsia"/>
                <w:color w:val="auto"/>
              </w:rPr>
              <w:t>地表水环境。引用与建设项目距离近的有效数据，包括近3年的规划环境影响评价的监测数据，所在流域控制单元内国家、地方控制断面监测数据，生态环境主管部门发布的水环境质量数据或地表水达标情况的结论。</w:t>
            </w:r>
          </w:p>
          <w:p w14:paraId="2C7AC1F3">
            <w:pPr>
              <w:adjustRightInd w:val="0"/>
              <w:snapToGrid w:val="0"/>
              <w:spacing w:line="336" w:lineRule="auto"/>
              <w:ind w:firstLine="420" w:firstLineChars="200"/>
              <w:jc w:val="left"/>
              <w:rPr>
                <w:color w:val="auto"/>
              </w:rPr>
            </w:pPr>
            <w:r>
              <w:rPr>
                <w:rFonts w:hint="eastAsia"/>
                <w:color w:val="auto"/>
              </w:rPr>
              <w:t>声环境。厂界外周边50米范围内存在声环境保护目标的建设项目，应监测保护目标声环境质量现状并评价达标情况。各点位应监测昼夜间噪声，监测时间不少于1天，项目夜间不生产则仅监测昼间噪声。</w:t>
            </w:r>
          </w:p>
          <w:p w14:paraId="3BD5AACC">
            <w:pPr>
              <w:adjustRightInd w:val="0"/>
              <w:snapToGrid w:val="0"/>
              <w:spacing w:line="336" w:lineRule="auto"/>
              <w:ind w:firstLine="420" w:firstLineChars="200"/>
              <w:jc w:val="left"/>
              <w:rPr>
                <w:color w:val="auto"/>
              </w:rPr>
            </w:pPr>
            <w:r>
              <w:rPr>
                <w:rFonts w:hint="eastAsia"/>
                <w:color w:val="auto"/>
              </w:rPr>
              <w:t>生态环境。产业园区外建设项目新增用地且用地范围内含有生态环境保护目标时，应进行生态现状调查。</w:t>
            </w:r>
          </w:p>
          <w:p w14:paraId="70E62C92">
            <w:pPr>
              <w:adjustRightInd w:val="0"/>
              <w:snapToGrid w:val="0"/>
              <w:spacing w:line="336" w:lineRule="auto"/>
              <w:ind w:firstLine="420" w:firstLineChars="200"/>
              <w:jc w:val="left"/>
              <w:rPr>
                <w:color w:val="auto"/>
              </w:rPr>
            </w:pPr>
            <w:r>
              <w:rPr>
                <w:rFonts w:hint="eastAsia"/>
                <w:color w:val="auto"/>
              </w:rPr>
              <w:t>地下水、土壤环境。原则上不开展环境质量现状调查。建设项目存在土壤、地下水环境污染途径的，应结合污染源、保护目标分布情况开展现状调查以留作背景值。</w:t>
            </w:r>
          </w:p>
          <w:p w14:paraId="23C4C504">
            <w:pPr>
              <w:adjustRightInd w:val="0"/>
              <w:snapToGrid w:val="0"/>
              <w:spacing w:line="336" w:lineRule="auto"/>
              <w:jc w:val="left"/>
              <w:rPr>
                <w:color w:val="auto"/>
              </w:rPr>
            </w:pPr>
            <w:r>
              <w:rPr>
                <w:color w:val="auto"/>
              </w:rPr>
              <w:t>1</w:t>
            </w:r>
            <w:r>
              <w:rPr>
                <w:rFonts w:hAnsi="宋体"/>
                <w:color w:val="auto"/>
              </w:rPr>
              <w:t>、地表水环境质量现状</w:t>
            </w:r>
          </w:p>
          <w:p w14:paraId="2F0C2477">
            <w:pPr>
              <w:pStyle w:val="80"/>
              <w:ind w:firstLine="420"/>
              <w:rPr>
                <w:rFonts w:ascii="宋体" w:hAnsi="宋体" w:cs="Times New Roman"/>
                <w:color w:val="auto"/>
              </w:rPr>
            </w:pPr>
            <w:r>
              <w:rPr>
                <w:rFonts w:cs="Times New Roman"/>
                <w:color w:val="auto"/>
              </w:rPr>
              <w:t>根据《建设项目环境影响报告表编制技术指南（污染影响类）（试行）》的规定，地表水环境质量现状评价可</w:t>
            </w:r>
            <w:r>
              <w:rPr>
                <w:rFonts w:ascii="宋体" w:hAnsi="宋体" w:cs="Times New Roman"/>
                <w:color w:val="auto"/>
              </w:rPr>
              <w:t>“引用与建</w:t>
            </w:r>
            <w:r>
              <w:rPr>
                <w:rFonts w:cs="Times New Roman"/>
                <w:color w:val="auto"/>
              </w:rPr>
              <w:t>设项目距离近的有效数据，包括近3年的规划环境影响评价的监测数据，所在流域控制单元内国家、地方控制断面监测数据，生态环境主管部门发布的水环境质量数据或地表水达标情况的结</w:t>
            </w:r>
            <w:r>
              <w:rPr>
                <w:rFonts w:ascii="宋体" w:hAnsi="宋体" w:cs="Times New Roman"/>
                <w:color w:val="auto"/>
              </w:rPr>
              <w:t>论。”</w:t>
            </w:r>
          </w:p>
          <w:p w14:paraId="474A2692">
            <w:pPr>
              <w:pStyle w:val="80"/>
              <w:ind w:firstLine="420"/>
              <w:rPr>
                <w:color w:val="auto"/>
              </w:rPr>
            </w:pPr>
            <w:r>
              <w:rPr>
                <w:rFonts w:hint="eastAsia" w:ascii="宋体" w:hAnsi="宋体" w:cs="Times New Roman"/>
                <w:color w:val="auto"/>
              </w:rPr>
              <w:t>本项目区域地表水体为浑江，</w:t>
            </w:r>
            <w:r>
              <w:rPr>
                <w:rFonts w:cs="Times New Roman"/>
                <w:color w:val="auto"/>
              </w:rPr>
              <w:t>地表水环境质量现状评价引用</w:t>
            </w:r>
            <w:r>
              <w:rPr>
                <w:rFonts w:hint="eastAsia" w:cs="Times New Roman"/>
                <w:color w:val="auto"/>
              </w:rPr>
              <w:t>吉林省生态环境厅网站</w:t>
            </w:r>
            <w:r>
              <w:rPr>
                <w:rFonts w:cs="Times New Roman"/>
                <w:color w:val="auto"/>
              </w:rPr>
              <w:t>发布的《202</w:t>
            </w:r>
            <w:r>
              <w:rPr>
                <w:rFonts w:hint="eastAsia" w:cs="Times New Roman"/>
                <w:color w:val="auto"/>
              </w:rPr>
              <w:t>4</w:t>
            </w:r>
            <w:r>
              <w:rPr>
                <w:rFonts w:cs="Times New Roman"/>
                <w:color w:val="auto"/>
              </w:rPr>
              <w:t>年</w:t>
            </w:r>
            <w:r>
              <w:rPr>
                <w:rFonts w:hint="eastAsia" w:cs="Times New Roman"/>
                <w:color w:val="auto"/>
              </w:rPr>
              <w:t>1-</w:t>
            </w:r>
            <w:r>
              <w:rPr>
                <w:rFonts w:cs="Times New Roman"/>
                <w:color w:val="auto"/>
              </w:rPr>
              <w:t>月吉林省地表水国控断面水质月报》</w:t>
            </w:r>
            <w:r>
              <w:rPr>
                <w:rFonts w:hint="eastAsia" w:cs="Times New Roman"/>
                <w:color w:val="auto"/>
              </w:rPr>
              <w:t>，截至</w:t>
            </w:r>
            <w:r>
              <w:rPr>
                <w:color w:val="auto"/>
              </w:rPr>
              <w:t>202</w:t>
            </w:r>
            <w:r>
              <w:rPr>
                <w:rFonts w:hint="eastAsia"/>
                <w:color w:val="auto"/>
              </w:rPr>
              <w:t>4</w:t>
            </w:r>
            <w:r>
              <w:rPr>
                <w:color w:val="auto"/>
              </w:rPr>
              <w:t>年</w:t>
            </w:r>
            <w:r>
              <w:rPr>
                <w:rFonts w:hint="eastAsia"/>
                <w:color w:val="auto"/>
              </w:rPr>
              <w:t>7</w:t>
            </w:r>
            <w:r>
              <w:rPr>
                <w:color w:val="auto"/>
              </w:rPr>
              <w:t>月，111个国家考核断面中，鲜明村（数据不具备代表性）和辽河源（断流）2个断面未采样无数据，本月共监测109个断面。其中，Ⅰ～Ⅱ类水质断面30个，占27.5%；Ⅲ类51个，占46.8%；Ⅳ类22个，占20.2%；Ⅴ类5个，占4.6%；劣Ⅴ类1个，占0.9%。同比上年，32个断面水质好转，占29.4%；13个断面水质下降，占11.9%；62个断面水质无明显变化，占56.9%。环比上月，13个断面水质好转，占11.9%；29个断面水质下降，占26.6%；67个断面水质无明显变化，占61.5%。详见附表。</w:t>
            </w:r>
          </w:p>
          <w:p w14:paraId="204F64F3">
            <w:pPr>
              <w:pStyle w:val="78"/>
              <w:spacing w:line="240" w:lineRule="auto"/>
              <w:rPr>
                <w:rFonts w:ascii="Times New Roman" w:hAnsi="Times New Roman" w:cs="Times New Roman"/>
                <w:b w:val="0"/>
                <w:bCs/>
                <w:color w:val="auto"/>
                <w:sz w:val="21"/>
              </w:rPr>
            </w:pPr>
          </w:p>
          <w:p w14:paraId="704E5602">
            <w:pPr>
              <w:pStyle w:val="78"/>
              <w:spacing w:line="240" w:lineRule="auto"/>
              <w:rPr>
                <w:b w:val="0"/>
                <w:bCs/>
                <w:color w:val="auto"/>
                <w:sz w:val="21"/>
              </w:rPr>
            </w:pPr>
            <w:r>
              <w:rPr>
                <w:rFonts w:ascii="Times New Roman" w:hAnsi="Times New Roman" w:cs="Times New Roman"/>
                <w:b w:val="0"/>
                <w:bCs/>
                <w:color w:val="auto"/>
                <w:sz w:val="21"/>
              </w:rPr>
              <w:t>202</w:t>
            </w:r>
            <w:r>
              <w:rPr>
                <w:rFonts w:hint="eastAsia" w:ascii="Times New Roman" w:hAnsi="Times New Roman" w:cs="Times New Roman"/>
                <w:b w:val="0"/>
                <w:bCs/>
                <w:color w:val="auto"/>
                <w:sz w:val="21"/>
              </w:rPr>
              <w:t>4</w:t>
            </w:r>
            <w:r>
              <w:rPr>
                <w:rFonts w:ascii="Times New Roman" w:cs="Times New Roman"/>
                <w:b w:val="0"/>
                <w:bCs/>
                <w:color w:val="auto"/>
                <w:sz w:val="21"/>
              </w:rPr>
              <w:t>年</w:t>
            </w:r>
            <w:r>
              <w:rPr>
                <w:rFonts w:hint="eastAsia" w:ascii="Times New Roman" w:hAnsi="Times New Roman" w:cs="Times New Roman"/>
                <w:b w:val="0"/>
                <w:bCs/>
                <w:color w:val="auto"/>
                <w:sz w:val="21"/>
              </w:rPr>
              <w:t>1-7</w:t>
            </w:r>
            <w:r>
              <w:rPr>
                <w:b w:val="0"/>
                <w:bCs/>
                <w:color w:val="auto"/>
                <w:sz w:val="21"/>
              </w:rPr>
              <w:t>月份</w:t>
            </w:r>
            <w:r>
              <w:rPr>
                <w:rFonts w:hint="eastAsia"/>
                <w:b w:val="0"/>
                <w:bCs/>
                <w:color w:val="auto"/>
                <w:sz w:val="21"/>
              </w:rPr>
              <w:t>浑江省控</w:t>
            </w:r>
            <w:r>
              <w:rPr>
                <w:b w:val="0"/>
                <w:bCs/>
                <w:color w:val="auto"/>
                <w:sz w:val="21"/>
              </w:rPr>
              <w:t>断面水质监测结果</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958"/>
              <w:gridCol w:w="1025"/>
              <w:gridCol w:w="949"/>
              <w:gridCol w:w="718"/>
              <w:gridCol w:w="750"/>
              <w:gridCol w:w="817"/>
              <w:gridCol w:w="706"/>
              <w:gridCol w:w="699"/>
              <w:gridCol w:w="641"/>
              <w:gridCol w:w="711"/>
            </w:tblGrid>
            <w:tr w14:paraId="15C0E3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600" w:type="pct"/>
                  <w:vMerge w:val="restart"/>
                  <w:noWrap/>
                  <w:tcMar>
                    <w:top w:w="0" w:type="dxa"/>
                    <w:left w:w="108" w:type="dxa"/>
                    <w:bottom w:w="0" w:type="dxa"/>
                    <w:right w:w="108" w:type="dxa"/>
                  </w:tcMar>
                  <w:vAlign w:val="center"/>
                </w:tcPr>
                <w:p w14:paraId="64FD479B">
                  <w:pPr>
                    <w:widowControl/>
                    <w:adjustRightInd w:val="0"/>
                    <w:snapToGrid w:val="0"/>
                    <w:jc w:val="center"/>
                    <w:textAlignment w:val="center"/>
                    <w:rPr>
                      <w:color w:val="auto"/>
                      <w:sz w:val="18"/>
                      <w:szCs w:val="18"/>
                    </w:rPr>
                  </w:pPr>
                  <w:r>
                    <w:rPr>
                      <w:bCs/>
                      <w:color w:val="auto"/>
                      <w:sz w:val="18"/>
                      <w:szCs w:val="18"/>
                    </w:rPr>
                    <w:t>责任地市</w:t>
                  </w:r>
                </w:p>
              </w:tc>
              <w:tc>
                <w:tcPr>
                  <w:tcW w:w="642" w:type="pct"/>
                  <w:vMerge w:val="restart"/>
                  <w:noWrap/>
                  <w:tcMar>
                    <w:top w:w="0" w:type="dxa"/>
                    <w:left w:w="108" w:type="dxa"/>
                    <w:bottom w:w="0" w:type="dxa"/>
                    <w:right w:w="108" w:type="dxa"/>
                  </w:tcMar>
                  <w:vAlign w:val="center"/>
                </w:tcPr>
                <w:p w14:paraId="41AAD068">
                  <w:pPr>
                    <w:widowControl/>
                    <w:adjustRightInd w:val="0"/>
                    <w:snapToGrid w:val="0"/>
                    <w:jc w:val="center"/>
                    <w:textAlignment w:val="center"/>
                    <w:rPr>
                      <w:color w:val="auto"/>
                      <w:sz w:val="18"/>
                      <w:szCs w:val="18"/>
                    </w:rPr>
                  </w:pPr>
                  <w:r>
                    <w:rPr>
                      <w:bCs/>
                      <w:color w:val="auto"/>
                      <w:sz w:val="18"/>
                      <w:szCs w:val="18"/>
                    </w:rPr>
                    <w:t>所在水体</w:t>
                  </w:r>
                </w:p>
              </w:tc>
              <w:tc>
                <w:tcPr>
                  <w:tcW w:w="595" w:type="pct"/>
                  <w:vMerge w:val="restart"/>
                  <w:noWrap/>
                  <w:tcMar>
                    <w:top w:w="0" w:type="dxa"/>
                    <w:left w:w="108" w:type="dxa"/>
                    <w:bottom w:w="0" w:type="dxa"/>
                    <w:right w:w="108" w:type="dxa"/>
                  </w:tcMar>
                  <w:vAlign w:val="center"/>
                </w:tcPr>
                <w:p w14:paraId="03DDBECD">
                  <w:pPr>
                    <w:widowControl/>
                    <w:adjustRightInd w:val="0"/>
                    <w:snapToGrid w:val="0"/>
                    <w:jc w:val="center"/>
                    <w:textAlignment w:val="center"/>
                    <w:rPr>
                      <w:color w:val="auto"/>
                      <w:sz w:val="18"/>
                      <w:szCs w:val="18"/>
                    </w:rPr>
                  </w:pPr>
                  <w:r>
                    <w:rPr>
                      <w:bCs/>
                      <w:color w:val="auto"/>
                      <w:sz w:val="18"/>
                      <w:szCs w:val="18"/>
                    </w:rPr>
                    <w:t>断面名称</w:t>
                  </w:r>
                </w:p>
              </w:tc>
              <w:tc>
                <w:tcPr>
                  <w:tcW w:w="3161" w:type="pct"/>
                  <w:gridSpan w:val="7"/>
                  <w:tcMar>
                    <w:top w:w="0" w:type="dxa"/>
                    <w:left w:w="108" w:type="dxa"/>
                    <w:bottom w:w="0" w:type="dxa"/>
                    <w:right w:w="108" w:type="dxa"/>
                  </w:tcMar>
                  <w:vAlign w:val="center"/>
                </w:tcPr>
                <w:p w14:paraId="68D045A1">
                  <w:pPr>
                    <w:widowControl/>
                    <w:adjustRightInd w:val="0"/>
                    <w:snapToGrid w:val="0"/>
                    <w:jc w:val="center"/>
                    <w:textAlignment w:val="center"/>
                    <w:rPr>
                      <w:bCs/>
                      <w:color w:val="auto"/>
                      <w:sz w:val="18"/>
                      <w:szCs w:val="18"/>
                    </w:rPr>
                  </w:pPr>
                  <w:r>
                    <w:rPr>
                      <w:bCs/>
                      <w:color w:val="auto"/>
                      <w:sz w:val="18"/>
                      <w:szCs w:val="18"/>
                    </w:rPr>
                    <w:t>水质类别</w:t>
                  </w:r>
                </w:p>
              </w:tc>
            </w:tr>
            <w:tr w14:paraId="5FFE47F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25" w:hRule="atLeast"/>
                <w:jc w:val="center"/>
              </w:trPr>
              <w:tc>
                <w:tcPr>
                  <w:tcW w:w="600" w:type="pct"/>
                  <w:vMerge w:val="continue"/>
                  <w:vAlign w:val="center"/>
                </w:tcPr>
                <w:p w14:paraId="6F71CD31">
                  <w:pPr>
                    <w:widowControl/>
                    <w:adjustRightInd w:val="0"/>
                    <w:snapToGrid w:val="0"/>
                    <w:jc w:val="left"/>
                    <w:rPr>
                      <w:color w:val="auto"/>
                      <w:sz w:val="18"/>
                      <w:szCs w:val="18"/>
                    </w:rPr>
                  </w:pPr>
                </w:p>
              </w:tc>
              <w:tc>
                <w:tcPr>
                  <w:tcW w:w="642" w:type="pct"/>
                  <w:vMerge w:val="continue"/>
                  <w:vAlign w:val="center"/>
                </w:tcPr>
                <w:p w14:paraId="32C5433B">
                  <w:pPr>
                    <w:widowControl/>
                    <w:adjustRightInd w:val="0"/>
                    <w:snapToGrid w:val="0"/>
                    <w:jc w:val="left"/>
                    <w:rPr>
                      <w:color w:val="auto"/>
                      <w:sz w:val="18"/>
                      <w:szCs w:val="18"/>
                    </w:rPr>
                  </w:pPr>
                </w:p>
              </w:tc>
              <w:tc>
                <w:tcPr>
                  <w:tcW w:w="595" w:type="pct"/>
                  <w:vMerge w:val="continue"/>
                  <w:vAlign w:val="center"/>
                </w:tcPr>
                <w:p w14:paraId="12C138CF">
                  <w:pPr>
                    <w:widowControl/>
                    <w:adjustRightInd w:val="0"/>
                    <w:snapToGrid w:val="0"/>
                    <w:jc w:val="left"/>
                    <w:rPr>
                      <w:color w:val="auto"/>
                      <w:sz w:val="18"/>
                      <w:szCs w:val="18"/>
                    </w:rPr>
                  </w:pPr>
                </w:p>
              </w:tc>
              <w:tc>
                <w:tcPr>
                  <w:tcW w:w="450" w:type="pct"/>
                  <w:tcBorders>
                    <w:right w:val="single" w:color="auto" w:sz="4" w:space="0"/>
                  </w:tcBorders>
                  <w:tcMar>
                    <w:top w:w="0" w:type="dxa"/>
                    <w:left w:w="28" w:type="dxa"/>
                    <w:bottom w:w="0" w:type="dxa"/>
                    <w:right w:w="28" w:type="dxa"/>
                  </w:tcMar>
                  <w:vAlign w:val="center"/>
                </w:tcPr>
                <w:p w14:paraId="3922AA7A">
                  <w:pPr>
                    <w:widowControl/>
                    <w:adjustRightInd w:val="0"/>
                    <w:snapToGrid w:val="0"/>
                    <w:jc w:val="center"/>
                    <w:textAlignment w:val="center"/>
                    <w:rPr>
                      <w:color w:val="auto"/>
                      <w:sz w:val="18"/>
                      <w:szCs w:val="18"/>
                    </w:rPr>
                  </w:pPr>
                  <w:r>
                    <w:rPr>
                      <w:color w:val="auto"/>
                      <w:sz w:val="18"/>
                      <w:szCs w:val="18"/>
                    </w:rPr>
                    <w:t>1月</w:t>
                  </w:r>
                </w:p>
              </w:tc>
              <w:tc>
                <w:tcPr>
                  <w:tcW w:w="470" w:type="pct"/>
                  <w:tcBorders>
                    <w:left w:val="single" w:color="auto" w:sz="4" w:space="0"/>
                    <w:right w:val="single" w:color="auto" w:sz="4" w:space="0"/>
                  </w:tcBorders>
                  <w:tcMar>
                    <w:top w:w="0" w:type="dxa"/>
                    <w:left w:w="28" w:type="dxa"/>
                    <w:bottom w:w="0" w:type="dxa"/>
                    <w:right w:w="28" w:type="dxa"/>
                  </w:tcMar>
                  <w:vAlign w:val="center"/>
                </w:tcPr>
                <w:p w14:paraId="51853D36">
                  <w:pPr>
                    <w:widowControl/>
                    <w:adjustRightInd w:val="0"/>
                    <w:snapToGrid w:val="0"/>
                    <w:jc w:val="center"/>
                    <w:textAlignment w:val="center"/>
                    <w:rPr>
                      <w:color w:val="auto"/>
                      <w:sz w:val="18"/>
                      <w:szCs w:val="18"/>
                    </w:rPr>
                  </w:pPr>
                  <w:r>
                    <w:rPr>
                      <w:color w:val="auto"/>
                      <w:sz w:val="18"/>
                      <w:szCs w:val="18"/>
                    </w:rPr>
                    <w:t>2月</w:t>
                  </w:r>
                </w:p>
              </w:tc>
              <w:tc>
                <w:tcPr>
                  <w:tcW w:w="512" w:type="pct"/>
                  <w:tcBorders>
                    <w:left w:val="single" w:color="auto" w:sz="4" w:space="0"/>
                  </w:tcBorders>
                  <w:tcMar>
                    <w:top w:w="0" w:type="dxa"/>
                    <w:left w:w="28" w:type="dxa"/>
                    <w:bottom w:w="0" w:type="dxa"/>
                    <w:right w:w="28" w:type="dxa"/>
                  </w:tcMar>
                  <w:vAlign w:val="center"/>
                </w:tcPr>
                <w:p w14:paraId="73841173">
                  <w:pPr>
                    <w:widowControl/>
                    <w:adjustRightInd w:val="0"/>
                    <w:snapToGrid w:val="0"/>
                    <w:jc w:val="center"/>
                    <w:textAlignment w:val="center"/>
                    <w:rPr>
                      <w:color w:val="auto"/>
                      <w:sz w:val="18"/>
                      <w:szCs w:val="18"/>
                    </w:rPr>
                  </w:pPr>
                  <w:r>
                    <w:rPr>
                      <w:color w:val="auto"/>
                      <w:sz w:val="18"/>
                      <w:szCs w:val="18"/>
                    </w:rPr>
                    <w:t>3月</w:t>
                  </w:r>
                </w:p>
              </w:tc>
              <w:tc>
                <w:tcPr>
                  <w:tcW w:w="443" w:type="pct"/>
                  <w:tcMar>
                    <w:top w:w="0" w:type="dxa"/>
                    <w:left w:w="28" w:type="dxa"/>
                    <w:bottom w:w="0" w:type="dxa"/>
                    <w:right w:w="28" w:type="dxa"/>
                  </w:tcMar>
                  <w:vAlign w:val="center"/>
                </w:tcPr>
                <w:p w14:paraId="4312538F">
                  <w:pPr>
                    <w:widowControl/>
                    <w:adjustRightInd w:val="0"/>
                    <w:snapToGrid w:val="0"/>
                    <w:jc w:val="center"/>
                    <w:textAlignment w:val="center"/>
                    <w:rPr>
                      <w:color w:val="auto"/>
                      <w:sz w:val="18"/>
                      <w:szCs w:val="18"/>
                    </w:rPr>
                  </w:pPr>
                  <w:r>
                    <w:rPr>
                      <w:color w:val="auto"/>
                      <w:sz w:val="18"/>
                      <w:szCs w:val="18"/>
                    </w:rPr>
                    <w:t>4月</w:t>
                  </w:r>
                </w:p>
              </w:tc>
              <w:tc>
                <w:tcPr>
                  <w:tcW w:w="438" w:type="pct"/>
                  <w:tcMar>
                    <w:top w:w="0" w:type="dxa"/>
                    <w:left w:w="28" w:type="dxa"/>
                    <w:bottom w:w="0" w:type="dxa"/>
                    <w:right w:w="28" w:type="dxa"/>
                  </w:tcMar>
                  <w:vAlign w:val="center"/>
                </w:tcPr>
                <w:p w14:paraId="38E28C55">
                  <w:pPr>
                    <w:widowControl/>
                    <w:adjustRightInd w:val="0"/>
                    <w:snapToGrid w:val="0"/>
                    <w:jc w:val="center"/>
                    <w:textAlignment w:val="center"/>
                    <w:rPr>
                      <w:color w:val="auto"/>
                      <w:sz w:val="18"/>
                      <w:szCs w:val="18"/>
                    </w:rPr>
                  </w:pPr>
                  <w:r>
                    <w:rPr>
                      <w:color w:val="auto"/>
                      <w:sz w:val="18"/>
                      <w:szCs w:val="18"/>
                    </w:rPr>
                    <w:t>5月</w:t>
                  </w:r>
                </w:p>
              </w:tc>
              <w:tc>
                <w:tcPr>
                  <w:tcW w:w="402" w:type="pct"/>
                  <w:tcBorders>
                    <w:top w:val="single" w:color="auto" w:sz="4" w:space="0"/>
                  </w:tcBorders>
                  <w:vAlign w:val="center"/>
                </w:tcPr>
                <w:p w14:paraId="4122A26F">
                  <w:pPr>
                    <w:widowControl/>
                    <w:adjustRightInd w:val="0"/>
                    <w:snapToGrid w:val="0"/>
                    <w:jc w:val="center"/>
                    <w:rPr>
                      <w:color w:val="auto"/>
                      <w:sz w:val="18"/>
                      <w:szCs w:val="18"/>
                    </w:rPr>
                  </w:pPr>
                  <w:r>
                    <w:rPr>
                      <w:color w:val="auto"/>
                      <w:sz w:val="18"/>
                      <w:szCs w:val="18"/>
                    </w:rPr>
                    <w:t>6月</w:t>
                  </w:r>
                </w:p>
              </w:tc>
              <w:tc>
                <w:tcPr>
                  <w:tcW w:w="442" w:type="pct"/>
                  <w:tcBorders>
                    <w:top w:val="single" w:color="auto" w:sz="4" w:space="0"/>
                  </w:tcBorders>
                  <w:vAlign w:val="center"/>
                </w:tcPr>
                <w:p w14:paraId="02C237B5">
                  <w:pPr>
                    <w:widowControl/>
                    <w:adjustRightInd w:val="0"/>
                    <w:snapToGrid w:val="0"/>
                    <w:jc w:val="center"/>
                    <w:rPr>
                      <w:color w:val="auto"/>
                      <w:sz w:val="18"/>
                      <w:szCs w:val="18"/>
                    </w:rPr>
                  </w:pPr>
                  <w:r>
                    <w:rPr>
                      <w:color w:val="auto"/>
                      <w:sz w:val="18"/>
                      <w:szCs w:val="18"/>
                    </w:rPr>
                    <w:t>7月</w:t>
                  </w:r>
                </w:p>
              </w:tc>
            </w:tr>
            <w:tr w14:paraId="24A6AA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74" w:hRule="atLeast"/>
                <w:jc w:val="center"/>
              </w:trPr>
              <w:tc>
                <w:tcPr>
                  <w:tcW w:w="600" w:type="pct"/>
                  <w:noWrap/>
                  <w:tcMar>
                    <w:top w:w="0" w:type="dxa"/>
                    <w:left w:w="108" w:type="dxa"/>
                    <w:bottom w:w="0" w:type="dxa"/>
                    <w:right w:w="108" w:type="dxa"/>
                  </w:tcMar>
                  <w:vAlign w:val="center"/>
                </w:tcPr>
                <w:p w14:paraId="7E30E4E5">
                  <w:pPr>
                    <w:widowControl/>
                    <w:adjustRightInd w:val="0"/>
                    <w:snapToGrid w:val="0"/>
                    <w:jc w:val="center"/>
                    <w:textAlignment w:val="center"/>
                    <w:rPr>
                      <w:color w:val="auto"/>
                      <w:sz w:val="18"/>
                      <w:szCs w:val="18"/>
                    </w:rPr>
                  </w:pPr>
                  <w:r>
                    <w:rPr>
                      <w:color w:val="auto"/>
                      <w:sz w:val="18"/>
                      <w:szCs w:val="18"/>
                    </w:rPr>
                    <w:t>白山市</w:t>
                  </w:r>
                </w:p>
              </w:tc>
              <w:tc>
                <w:tcPr>
                  <w:tcW w:w="642" w:type="pct"/>
                  <w:tcBorders>
                    <w:top w:val="single" w:color="auto" w:sz="4" w:space="0"/>
                  </w:tcBorders>
                  <w:tcMar>
                    <w:top w:w="0" w:type="dxa"/>
                    <w:left w:w="108" w:type="dxa"/>
                    <w:bottom w:w="0" w:type="dxa"/>
                    <w:right w:w="108" w:type="dxa"/>
                  </w:tcMar>
                  <w:vAlign w:val="center"/>
                </w:tcPr>
                <w:p w14:paraId="245F787E">
                  <w:pPr>
                    <w:widowControl/>
                    <w:adjustRightInd w:val="0"/>
                    <w:snapToGrid w:val="0"/>
                    <w:jc w:val="center"/>
                    <w:textAlignment w:val="center"/>
                    <w:rPr>
                      <w:color w:val="auto"/>
                      <w:sz w:val="18"/>
                      <w:szCs w:val="18"/>
                    </w:rPr>
                  </w:pPr>
                  <w:r>
                    <w:rPr>
                      <w:color w:val="auto"/>
                      <w:sz w:val="18"/>
                      <w:szCs w:val="18"/>
                    </w:rPr>
                    <w:t>浑江</w:t>
                  </w:r>
                </w:p>
              </w:tc>
              <w:tc>
                <w:tcPr>
                  <w:tcW w:w="595" w:type="pct"/>
                  <w:noWrap/>
                  <w:tcMar>
                    <w:top w:w="0" w:type="dxa"/>
                    <w:left w:w="108" w:type="dxa"/>
                    <w:bottom w:w="0" w:type="dxa"/>
                    <w:right w:w="108" w:type="dxa"/>
                  </w:tcMar>
                  <w:vAlign w:val="center"/>
                </w:tcPr>
                <w:p w14:paraId="53A7DA89">
                  <w:pPr>
                    <w:widowControl/>
                    <w:adjustRightInd w:val="0"/>
                    <w:snapToGrid w:val="0"/>
                    <w:jc w:val="center"/>
                    <w:textAlignment w:val="center"/>
                    <w:rPr>
                      <w:color w:val="auto"/>
                      <w:sz w:val="18"/>
                      <w:szCs w:val="18"/>
                    </w:rPr>
                  </w:pPr>
                  <w:r>
                    <w:rPr>
                      <w:color w:val="auto"/>
                      <w:sz w:val="18"/>
                      <w:szCs w:val="18"/>
                    </w:rPr>
                    <w:t>江源（浑）</w:t>
                  </w:r>
                </w:p>
              </w:tc>
              <w:tc>
                <w:tcPr>
                  <w:tcW w:w="450" w:type="pct"/>
                  <w:tcBorders>
                    <w:right w:val="single" w:color="auto" w:sz="4" w:space="0"/>
                  </w:tcBorders>
                  <w:noWrap/>
                  <w:tcMar>
                    <w:top w:w="0" w:type="dxa"/>
                    <w:left w:w="108" w:type="dxa"/>
                    <w:bottom w:w="0" w:type="dxa"/>
                    <w:right w:w="108" w:type="dxa"/>
                  </w:tcMar>
                  <w:vAlign w:val="center"/>
                </w:tcPr>
                <w:p w14:paraId="27A13183">
                  <w:pPr>
                    <w:widowControl/>
                    <w:adjustRightInd w:val="0"/>
                    <w:snapToGrid w:val="0"/>
                    <w:jc w:val="center"/>
                    <w:textAlignment w:val="center"/>
                    <w:rPr>
                      <w:color w:val="auto"/>
                      <w:sz w:val="18"/>
                      <w:szCs w:val="18"/>
                    </w:rPr>
                  </w:pPr>
                  <w:r>
                    <w:rPr>
                      <w:rFonts w:hint="eastAsia" w:ascii="宋体" w:hAnsi="宋体" w:cs="宋体"/>
                      <w:color w:val="auto"/>
                      <w:sz w:val="18"/>
                      <w:szCs w:val="18"/>
                    </w:rPr>
                    <w:t>Ⅱ</w:t>
                  </w:r>
                </w:p>
              </w:tc>
              <w:tc>
                <w:tcPr>
                  <w:tcW w:w="750" w:type="dxa"/>
                  <w:tcBorders>
                    <w:left w:val="single" w:color="auto" w:sz="4" w:space="0"/>
                    <w:right w:val="single" w:color="auto" w:sz="4" w:space="0"/>
                  </w:tcBorders>
                  <w:noWrap/>
                  <w:tcMar>
                    <w:top w:w="0" w:type="dxa"/>
                    <w:left w:w="108" w:type="dxa"/>
                    <w:bottom w:w="0" w:type="dxa"/>
                    <w:right w:w="108" w:type="dxa"/>
                  </w:tcMar>
                  <w:vAlign w:val="center"/>
                </w:tcPr>
                <w:p w14:paraId="278DE5CC">
                  <w:pPr>
                    <w:widowControl/>
                    <w:adjustRightInd w:val="0"/>
                    <w:snapToGrid w:val="0"/>
                    <w:jc w:val="center"/>
                    <w:textAlignment w:val="center"/>
                    <w:rPr>
                      <w:color w:val="auto"/>
                      <w:sz w:val="18"/>
                      <w:szCs w:val="18"/>
                    </w:rPr>
                  </w:pPr>
                  <w:r>
                    <w:rPr>
                      <w:rFonts w:hint="eastAsia" w:ascii="宋体" w:hAnsi="宋体" w:cs="宋体"/>
                      <w:color w:val="auto"/>
                      <w:sz w:val="18"/>
                      <w:szCs w:val="18"/>
                    </w:rPr>
                    <w:t>Ⅱ</w:t>
                  </w:r>
                </w:p>
              </w:tc>
              <w:tc>
                <w:tcPr>
                  <w:tcW w:w="817" w:type="dxa"/>
                  <w:tcBorders>
                    <w:left w:val="single" w:color="auto" w:sz="4" w:space="0"/>
                  </w:tcBorders>
                  <w:noWrap/>
                  <w:tcMar>
                    <w:top w:w="0" w:type="dxa"/>
                    <w:left w:w="108" w:type="dxa"/>
                    <w:bottom w:w="0" w:type="dxa"/>
                    <w:right w:w="108" w:type="dxa"/>
                  </w:tcMar>
                  <w:vAlign w:val="center"/>
                </w:tcPr>
                <w:p w14:paraId="00B6D287">
                  <w:pPr>
                    <w:widowControl/>
                    <w:adjustRightInd w:val="0"/>
                    <w:snapToGrid w:val="0"/>
                    <w:jc w:val="center"/>
                    <w:textAlignment w:val="center"/>
                    <w:rPr>
                      <w:color w:val="auto"/>
                      <w:sz w:val="18"/>
                      <w:szCs w:val="18"/>
                    </w:rPr>
                  </w:pPr>
                  <w:r>
                    <w:rPr>
                      <w:rFonts w:hint="eastAsia" w:ascii="宋体" w:hAnsi="宋体" w:cs="宋体"/>
                      <w:color w:val="auto"/>
                      <w:sz w:val="18"/>
                      <w:szCs w:val="18"/>
                    </w:rPr>
                    <w:t>Ⅱ</w:t>
                  </w:r>
                </w:p>
              </w:tc>
              <w:tc>
                <w:tcPr>
                  <w:tcW w:w="708" w:type="dxa"/>
                  <w:noWrap/>
                  <w:tcMar>
                    <w:top w:w="0" w:type="dxa"/>
                    <w:left w:w="108" w:type="dxa"/>
                    <w:bottom w:w="0" w:type="dxa"/>
                    <w:right w:w="108" w:type="dxa"/>
                  </w:tcMar>
                  <w:vAlign w:val="center"/>
                </w:tcPr>
                <w:p w14:paraId="015B9462">
                  <w:pPr>
                    <w:widowControl/>
                    <w:adjustRightInd w:val="0"/>
                    <w:snapToGrid w:val="0"/>
                    <w:jc w:val="center"/>
                    <w:textAlignment w:val="center"/>
                    <w:rPr>
                      <w:color w:val="auto"/>
                      <w:sz w:val="18"/>
                      <w:szCs w:val="18"/>
                    </w:rPr>
                  </w:pPr>
                  <w:r>
                    <w:rPr>
                      <w:rFonts w:hint="eastAsia" w:ascii="宋体" w:hAnsi="宋体" w:cs="宋体"/>
                      <w:color w:val="auto"/>
                      <w:sz w:val="18"/>
                      <w:szCs w:val="18"/>
                    </w:rPr>
                    <w:t>Ⅱ</w:t>
                  </w:r>
                </w:p>
              </w:tc>
              <w:tc>
                <w:tcPr>
                  <w:tcW w:w="700" w:type="dxa"/>
                  <w:noWrap/>
                  <w:tcMar>
                    <w:top w:w="0" w:type="dxa"/>
                    <w:left w:w="108" w:type="dxa"/>
                    <w:bottom w:w="0" w:type="dxa"/>
                    <w:right w:w="108" w:type="dxa"/>
                  </w:tcMar>
                  <w:vAlign w:val="center"/>
                </w:tcPr>
                <w:p w14:paraId="28BECD02">
                  <w:pPr>
                    <w:widowControl/>
                    <w:adjustRightInd w:val="0"/>
                    <w:snapToGrid w:val="0"/>
                    <w:jc w:val="center"/>
                    <w:textAlignment w:val="center"/>
                    <w:rPr>
                      <w:color w:val="auto"/>
                      <w:sz w:val="18"/>
                      <w:szCs w:val="18"/>
                    </w:rPr>
                  </w:pPr>
                  <w:r>
                    <w:rPr>
                      <w:rFonts w:hint="eastAsia" w:ascii="宋体" w:hAnsi="宋体" w:cs="宋体"/>
                      <w:color w:val="auto"/>
                      <w:sz w:val="18"/>
                      <w:szCs w:val="18"/>
                    </w:rPr>
                    <w:t>Ⅱ</w:t>
                  </w:r>
                </w:p>
              </w:tc>
              <w:tc>
                <w:tcPr>
                  <w:tcW w:w="402" w:type="pct"/>
                  <w:noWrap/>
                  <w:tcMar>
                    <w:top w:w="0" w:type="dxa"/>
                    <w:left w:w="108" w:type="dxa"/>
                    <w:bottom w:w="0" w:type="dxa"/>
                    <w:right w:w="108" w:type="dxa"/>
                  </w:tcMar>
                  <w:vAlign w:val="center"/>
                </w:tcPr>
                <w:p w14:paraId="432BF625">
                  <w:pPr>
                    <w:widowControl/>
                    <w:adjustRightInd w:val="0"/>
                    <w:snapToGrid w:val="0"/>
                    <w:jc w:val="center"/>
                    <w:textAlignment w:val="center"/>
                    <w:rPr>
                      <w:color w:val="auto"/>
                      <w:sz w:val="18"/>
                      <w:szCs w:val="18"/>
                    </w:rPr>
                  </w:pPr>
                  <w:r>
                    <w:rPr>
                      <w:rFonts w:hint="eastAsia" w:ascii="宋体" w:hAnsi="宋体" w:cs="宋体"/>
                      <w:color w:val="auto"/>
                      <w:sz w:val="18"/>
                      <w:szCs w:val="18"/>
                    </w:rPr>
                    <w:t>Ⅱ</w:t>
                  </w:r>
                </w:p>
              </w:tc>
              <w:tc>
                <w:tcPr>
                  <w:tcW w:w="442" w:type="pct"/>
                  <w:noWrap/>
                  <w:tcMar>
                    <w:top w:w="0" w:type="dxa"/>
                    <w:left w:w="108" w:type="dxa"/>
                    <w:bottom w:w="0" w:type="dxa"/>
                    <w:right w:w="108" w:type="dxa"/>
                  </w:tcMar>
                  <w:vAlign w:val="center"/>
                </w:tcPr>
                <w:p w14:paraId="4C01822F">
                  <w:pPr>
                    <w:widowControl/>
                    <w:adjustRightInd w:val="0"/>
                    <w:snapToGrid w:val="0"/>
                    <w:jc w:val="center"/>
                    <w:textAlignment w:val="center"/>
                    <w:rPr>
                      <w:color w:val="auto"/>
                      <w:sz w:val="18"/>
                      <w:szCs w:val="18"/>
                    </w:rPr>
                  </w:pPr>
                  <w:r>
                    <w:rPr>
                      <w:rFonts w:hint="eastAsia" w:ascii="宋体" w:hAnsi="宋体" w:cs="宋体"/>
                      <w:color w:val="auto"/>
                      <w:sz w:val="18"/>
                      <w:szCs w:val="18"/>
                    </w:rPr>
                    <w:t>Ⅱ</w:t>
                  </w:r>
                </w:p>
              </w:tc>
            </w:tr>
          </w:tbl>
          <w:p w14:paraId="564DD8D4">
            <w:pPr>
              <w:adjustRightInd w:val="0"/>
              <w:snapToGrid w:val="0"/>
              <w:rPr>
                <w:color w:val="auto"/>
                <w:sz w:val="10"/>
                <w:szCs w:val="10"/>
              </w:rPr>
            </w:pPr>
          </w:p>
          <w:p w14:paraId="0693B6D4">
            <w:pPr>
              <w:adjustRightInd w:val="0"/>
              <w:snapToGrid w:val="0"/>
              <w:spacing w:line="360" w:lineRule="auto"/>
              <w:ind w:firstLine="420" w:firstLineChars="200"/>
              <w:rPr>
                <w:color w:val="auto"/>
              </w:rPr>
            </w:pPr>
            <w:r>
              <w:rPr>
                <w:rFonts w:hint="eastAsia"/>
                <w:color w:val="auto"/>
              </w:rPr>
              <w:t>通过省控断面1-7月的例行监测数据可知，该断面水质满足功能水体要求，水质状况较好。</w:t>
            </w:r>
          </w:p>
          <w:p w14:paraId="7C484762">
            <w:pPr>
              <w:adjustRightInd w:val="0"/>
              <w:snapToGrid w:val="0"/>
              <w:spacing w:line="336" w:lineRule="auto"/>
              <w:jc w:val="left"/>
              <w:rPr>
                <w:color w:val="auto"/>
              </w:rPr>
            </w:pPr>
            <w:r>
              <w:rPr>
                <w:rFonts w:hint="eastAsia"/>
                <w:color w:val="auto"/>
              </w:rPr>
              <w:t>2、环境空气质量现状</w:t>
            </w:r>
          </w:p>
          <w:p w14:paraId="6B083BB2">
            <w:pPr>
              <w:adjustRightInd w:val="0"/>
              <w:snapToGrid w:val="0"/>
              <w:spacing w:line="336" w:lineRule="auto"/>
              <w:rPr>
                <w:color w:val="auto"/>
              </w:rPr>
            </w:pPr>
            <w:r>
              <w:rPr>
                <w:rFonts w:hint="eastAsia"/>
                <w:color w:val="auto"/>
              </w:rPr>
              <w:t>2.1区域环境空气质量状况</w:t>
            </w:r>
          </w:p>
          <w:p w14:paraId="09FB2DFD">
            <w:pPr>
              <w:pStyle w:val="80"/>
              <w:ind w:firstLine="420"/>
              <w:rPr>
                <w:rFonts w:cs="Times New Roman"/>
                <w:color w:val="auto"/>
              </w:rPr>
            </w:pPr>
            <w:r>
              <w:rPr>
                <w:rFonts w:cs="Times New Roman"/>
                <w:color w:val="auto"/>
              </w:rPr>
              <w:t>本项目位于</w:t>
            </w:r>
            <w:r>
              <w:rPr>
                <w:rFonts w:hint="eastAsia"/>
                <w:color w:val="auto"/>
              </w:rPr>
              <w:t>白山市江源区</w:t>
            </w:r>
            <w:r>
              <w:rPr>
                <w:rFonts w:cs="Times New Roman"/>
                <w:color w:val="auto"/>
              </w:rPr>
              <w:t>，区域环境空气质量达标情况采用吉林省生态环境厅发布的《吉林省202</w:t>
            </w:r>
            <w:r>
              <w:rPr>
                <w:rFonts w:hint="eastAsia" w:cs="Times New Roman"/>
                <w:color w:val="auto"/>
              </w:rPr>
              <w:t>3</w:t>
            </w:r>
            <w:r>
              <w:rPr>
                <w:rFonts w:cs="Times New Roman"/>
                <w:color w:val="auto"/>
              </w:rPr>
              <w:t>年生态环境状况公报》中的数据进行空气质量达标区判定，详见下表。</w:t>
            </w:r>
          </w:p>
          <w:p w14:paraId="7612B79A">
            <w:pPr>
              <w:pStyle w:val="78"/>
              <w:spacing w:line="240" w:lineRule="auto"/>
              <w:ind w:left="0" w:firstLine="0"/>
              <w:rPr>
                <w:rFonts w:cs="宋体"/>
                <w:b w:val="0"/>
                <w:bCs/>
                <w:color w:val="auto"/>
                <w:sz w:val="21"/>
              </w:rPr>
            </w:pPr>
            <w:r>
              <w:rPr>
                <w:rFonts w:hint="eastAsia" w:cs="宋体"/>
                <w:b w:val="0"/>
                <w:bCs/>
                <w:color w:val="auto"/>
                <w:sz w:val="21"/>
              </w:rPr>
              <w:t>环境空气基本污染物质量现状评价表</w:t>
            </w:r>
          </w:p>
          <w:tbl>
            <w:tblPr>
              <w:tblStyle w:val="24"/>
              <w:tblW w:w="5000" w:type="pct"/>
              <w:jc w:val="center"/>
              <w:tblLayout w:type="fixed"/>
              <w:tblCellMar>
                <w:top w:w="0" w:type="dxa"/>
                <w:left w:w="0" w:type="dxa"/>
                <w:bottom w:w="0" w:type="dxa"/>
                <w:right w:w="0" w:type="dxa"/>
              </w:tblCellMar>
            </w:tblPr>
            <w:tblGrid>
              <w:gridCol w:w="1001"/>
              <w:gridCol w:w="707"/>
              <w:gridCol w:w="1989"/>
              <w:gridCol w:w="724"/>
              <w:gridCol w:w="852"/>
              <w:gridCol w:w="890"/>
              <w:gridCol w:w="912"/>
              <w:gridCol w:w="899"/>
            </w:tblGrid>
            <w:tr w14:paraId="7C49BD77">
              <w:tblPrEx>
                <w:tblCellMar>
                  <w:top w:w="0" w:type="dxa"/>
                  <w:left w:w="0" w:type="dxa"/>
                  <w:bottom w:w="0" w:type="dxa"/>
                  <w:right w:w="0" w:type="dxa"/>
                </w:tblCellMar>
              </w:tblPrEx>
              <w:trPr>
                <w:trHeight w:val="23" w:hRule="atLeast"/>
                <w:jc w:val="center"/>
              </w:trPr>
              <w:tc>
                <w:tcPr>
                  <w:tcW w:w="627" w:type="pct"/>
                  <w:tcBorders>
                    <w:top w:val="single" w:color="000000" w:sz="12" w:space="0"/>
                    <w:left w:val="nil"/>
                    <w:bottom w:val="single" w:color="000000" w:sz="4" w:space="0"/>
                    <w:right w:val="single" w:color="000000" w:sz="4" w:space="0"/>
                  </w:tcBorders>
                  <w:vAlign w:val="center"/>
                </w:tcPr>
                <w:p w14:paraId="672FC8B0">
                  <w:pPr>
                    <w:pStyle w:val="33"/>
                    <w:spacing w:beforeLines="0" w:afterLines="0" w:line="240" w:lineRule="auto"/>
                    <w:ind w:left="360" w:hanging="360"/>
                    <w:rPr>
                      <w:rFonts w:ascii="Times New Roman"/>
                      <w:color w:val="auto"/>
                      <w:sz w:val="18"/>
                      <w:szCs w:val="18"/>
                    </w:rPr>
                  </w:pPr>
                  <w:r>
                    <w:rPr>
                      <w:rFonts w:ascii="Times New Roman"/>
                      <w:color w:val="auto"/>
                      <w:sz w:val="18"/>
                      <w:szCs w:val="18"/>
                    </w:rPr>
                    <w:t>污染物</w:t>
                  </w:r>
                </w:p>
              </w:tc>
              <w:tc>
                <w:tcPr>
                  <w:tcW w:w="443" w:type="pct"/>
                  <w:tcBorders>
                    <w:top w:val="single" w:color="000000" w:sz="12" w:space="0"/>
                    <w:left w:val="single" w:color="000000" w:sz="4" w:space="0"/>
                    <w:bottom w:val="single" w:color="000000" w:sz="4" w:space="0"/>
                    <w:right w:val="single" w:color="000000" w:sz="4" w:space="0"/>
                  </w:tcBorders>
                  <w:vAlign w:val="center"/>
                </w:tcPr>
                <w:p w14:paraId="41281DE1">
                  <w:pPr>
                    <w:pStyle w:val="33"/>
                    <w:spacing w:beforeLines="0" w:afterLines="0" w:line="240" w:lineRule="auto"/>
                    <w:ind w:left="360" w:hanging="360"/>
                    <w:rPr>
                      <w:rFonts w:ascii="Times New Roman"/>
                      <w:color w:val="auto"/>
                      <w:sz w:val="18"/>
                      <w:szCs w:val="18"/>
                    </w:rPr>
                  </w:pPr>
                  <w:r>
                    <w:rPr>
                      <w:rFonts w:ascii="Times New Roman"/>
                      <w:color w:val="auto"/>
                      <w:sz w:val="18"/>
                      <w:szCs w:val="18"/>
                    </w:rPr>
                    <w:t>单位</w:t>
                  </w:r>
                </w:p>
              </w:tc>
              <w:tc>
                <w:tcPr>
                  <w:tcW w:w="1247" w:type="pct"/>
                  <w:tcBorders>
                    <w:top w:val="single" w:color="000000" w:sz="12" w:space="0"/>
                    <w:left w:val="single" w:color="000000" w:sz="4" w:space="0"/>
                    <w:bottom w:val="single" w:color="000000" w:sz="4" w:space="0"/>
                    <w:right w:val="single" w:color="000000" w:sz="4" w:space="0"/>
                  </w:tcBorders>
                  <w:vAlign w:val="center"/>
                </w:tcPr>
                <w:p w14:paraId="305A213A">
                  <w:pPr>
                    <w:pStyle w:val="33"/>
                    <w:spacing w:beforeLines="0" w:afterLines="0" w:line="240" w:lineRule="auto"/>
                    <w:ind w:left="360" w:hanging="360"/>
                    <w:rPr>
                      <w:rFonts w:ascii="Times New Roman"/>
                      <w:color w:val="auto"/>
                      <w:sz w:val="18"/>
                      <w:szCs w:val="18"/>
                    </w:rPr>
                  </w:pPr>
                  <w:r>
                    <w:rPr>
                      <w:rFonts w:ascii="Times New Roman"/>
                      <w:color w:val="auto"/>
                      <w:sz w:val="18"/>
                      <w:szCs w:val="18"/>
                    </w:rPr>
                    <w:t>年评价指标</w:t>
                  </w:r>
                </w:p>
              </w:tc>
              <w:tc>
                <w:tcPr>
                  <w:tcW w:w="454" w:type="pct"/>
                  <w:tcBorders>
                    <w:top w:val="single" w:color="000000" w:sz="12" w:space="0"/>
                    <w:left w:val="single" w:color="000000" w:sz="4" w:space="0"/>
                    <w:bottom w:val="single" w:color="000000" w:sz="4" w:space="0"/>
                    <w:right w:val="single" w:color="000000" w:sz="4" w:space="0"/>
                  </w:tcBorders>
                  <w:vAlign w:val="center"/>
                </w:tcPr>
                <w:p w14:paraId="38A85D0E">
                  <w:pPr>
                    <w:pStyle w:val="33"/>
                    <w:spacing w:beforeLines="0" w:afterLines="0" w:line="240" w:lineRule="auto"/>
                    <w:ind w:left="360" w:hanging="360"/>
                    <w:rPr>
                      <w:rFonts w:ascii="Times New Roman"/>
                      <w:color w:val="auto"/>
                      <w:sz w:val="18"/>
                      <w:szCs w:val="18"/>
                    </w:rPr>
                  </w:pPr>
                  <w:r>
                    <w:rPr>
                      <w:rFonts w:ascii="Times New Roman"/>
                      <w:color w:val="auto"/>
                      <w:sz w:val="18"/>
                      <w:szCs w:val="18"/>
                    </w:rPr>
                    <w:t>现状</w:t>
                  </w:r>
                </w:p>
                <w:p w14:paraId="5FFD8AF6">
                  <w:pPr>
                    <w:pStyle w:val="33"/>
                    <w:spacing w:beforeLines="0" w:afterLines="0" w:line="240" w:lineRule="auto"/>
                    <w:ind w:left="360" w:hanging="360"/>
                    <w:rPr>
                      <w:rFonts w:ascii="Times New Roman"/>
                      <w:color w:val="auto"/>
                      <w:sz w:val="18"/>
                      <w:szCs w:val="18"/>
                    </w:rPr>
                  </w:pPr>
                  <w:r>
                    <w:rPr>
                      <w:rFonts w:ascii="Times New Roman"/>
                      <w:color w:val="auto"/>
                      <w:sz w:val="18"/>
                      <w:szCs w:val="18"/>
                    </w:rPr>
                    <w:t>浓度</w:t>
                  </w:r>
                </w:p>
              </w:tc>
              <w:tc>
                <w:tcPr>
                  <w:tcW w:w="534" w:type="pct"/>
                  <w:tcBorders>
                    <w:top w:val="single" w:color="000000" w:sz="12" w:space="0"/>
                    <w:left w:val="single" w:color="000000" w:sz="4" w:space="0"/>
                    <w:bottom w:val="single" w:color="000000" w:sz="4" w:space="0"/>
                    <w:right w:val="single" w:color="000000" w:sz="4" w:space="0"/>
                  </w:tcBorders>
                  <w:vAlign w:val="center"/>
                </w:tcPr>
                <w:p w14:paraId="1F9A6428">
                  <w:pPr>
                    <w:pStyle w:val="33"/>
                    <w:spacing w:beforeLines="0" w:afterLines="0" w:line="240" w:lineRule="auto"/>
                    <w:ind w:left="360" w:hanging="360"/>
                    <w:rPr>
                      <w:rFonts w:ascii="Times New Roman"/>
                      <w:color w:val="auto"/>
                      <w:sz w:val="18"/>
                      <w:szCs w:val="18"/>
                    </w:rPr>
                  </w:pPr>
                  <w:r>
                    <w:rPr>
                      <w:rFonts w:ascii="Times New Roman"/>
                      <w:color w:val="auto"/>
                      <w:sz w:val="18"/>
                      <w:szCs w:val="18"/>
                    </w:rPr>
                    <w:t>标准值</w:t>
                  </w:r>
                </w:p>
              </w:tc>
              <w:tc>
                <w:tcPr>
                  <w:tcW w:w="558" w:type="pct"/>
                  <w:tcBorders>
                    <w:top w:val="single" w:color="000000" w:sz="12" w:space="0"/>
                    <w:left w:val="single" w:color="000000" w:sz="4" w:space="0"/>
                    <w:bottom w:val="single" w:color="000000" w:sz="4" w:space="0"/>
                    <w:right w:val="single" w:color="000000" w:sz="4" w:space="0"/>
                  </w:tcBorders>
                  <w:vAlign w:val="center"/>
                </w:tcPr>
                <w:p w14:paraId="3FBE2D95">
                  <w:pPr>
                    <w:pStyle w:val="33"/>
                    <w:spacing w:beforeLines="0" w:afterLines="0" w:line="240" w:lineRule="auto"/>
                    <w:ind w:left="360" w:hanging="360"/>
                    <w:rPr>
                      <w:rFonts w:ascii="Times New Roman"/>
                      <w:color w:val="auto"/>
                      <w:sz w:val="18"/>
                      <w:szCs w:val="18"/>
                    </w:rPr>
                  </w:pPr>
                  <w:r>
                    <w:rPr>
                      <w:rFonts w:ascii="Times New Roman"/>
                      <w:color w:val="auto"/>
                      <w:sz w:val="18"/>
                      <w:szCs w:val="18"/>
                    </w:rPr>
                    <w:t>超标</w:t>
                  </w:r>
                </w:p>
                <w:p w14:paraId="19E4FE09">
                  <w:pPr>
                    <w:pStyle w:val="33"/>
                    <w:spacing w:beforeLines="0" w:afterLines="0" w:line="240" w:lineRule="auto"/>
                    <w:ind w:left="360" w:hanging="360"/>
                    <w:rPr>
                      <w:rFonts w:ascii="Times New Roman"/>
                      <w:color w:val="auto"/>
                      <w:sz w:val="18"/>
                      <w:szCs w:val="18"/>
                    </w:rPr>
                  </w:pPr>
                  <w:r>
                    <w:rPr>
                      <w:rFonts w:ascii="Times New Roman"/>
                      <w:color w:val="auto"/>
                      <w:sz w:val="18"/>
                      <w:szCs w:val="18"/>
                    </w:rPr>
                    <w:t>倍数</w:t>
                  </w:r>
                </w:p>
              </w:tc>
              <w:tc>
                <w:tcPr>
                  <w:tcW w:w="572" w:type="pct"/>
                  <w:tcBorders>
                    <w:top w:val="single" w:color="000000" w:sz="12" w:space="0"/>
                    <w:left w:val="single" w:color="000000" w:sz="4" w:space="0"/>
                    <w:bottom w:val="single" w:color="000000" w:sz="4" w:space="0"/>
                    <w:right w:val="single" w:color="000000" w:sz="4" w:space="0"/>
                  </w:tcBorders>
                  <w:vAlign w:val="center"/>
                </w:tcPr>
                <w:p w14:paraId="218C2623">
                  <w:pPr>
                    <w:pStyle w:val="33"/>
                    <w:spacing w:beforeLines="0" w:afterLines="0" w:line="240" w:lineRule="auto"/>
                    <w:ind w:left="360" w:hanging="360"/>
                    <w:rPr>
                      <w:rFonts w:ascii="Times New Roman"/>
                      <w:color w:val="auto"/>
                      <w:sz w:val="18"/>
                      <w:szCs w:val="18"/>
                    </w:rPr>
                  </w:pPr>
                  <w:r>
                    <w:rPr>
                      <w:rFonts w:ascii="Times New Roman"/>
                      <w:color w:val="auto"/>
                      <w:sz w:val="18"/>
                      <w:szCs w:val="18"/>
                    </w:rPr>
                    <w:t>占标率</w:t>
                  </w:r>
                </w:p>
                <w:p w14:paraId="08B3EE28">
                  <w:pPr>
                    <w:pStyle w:val="33"/>
                    <w:spacing w:beforeLines="0" w:afterLines="0" w:line="240" w:lineRule="auto"/>
                    <w:ind w:left="360" w:hanging="360"/>
                    <w:rPr>
                      <w:rFonts w:ascii="Times New Roman"/>
                      <w:color w:val="auto"/>
                      <w:sz w:val="18"/>
                      <w:szCs w:val="18"/>
                    </w:rPr>
                  </w:pPr>
                  <w:r>
                    <w:rPr>
                      <w:rFonts w:ascii="Times New Roman"/>
                      <w:color w:val="auto"/>
                      <w:sz w:val="18"/>
                      <w:szCs w:val="18"/>
                    </w:rPr>
                    <w:t>（%）</w:t>
                  </w:r>
                </w:p>
              </w:tc>
              <w:tc>
                <w:tcPr>
                  <w:tcW w:w="564" w:type="pct"/>
                  <w:tcBorders>
                    <w:top w:val="single" w:color="000000" w:sz="12" w:space="0"/>
                    <w:left w:val="single" w:color="000000" w:sz="4" w:space="0"/>
                    <w:bottom w:val="single" w:color="000000" w:sz="4" w:space="0"/>
                    <w:right w:val="nil"/>
                  </w:tcBorders>
                  <w:vAlign w:val="center"/>
                </w:tcPr>
                <w:p w14:paraId="3CF2080E">
                  <w:pPr>
                    <w:pStyle w:val="33"/>
                    <w:spacing w:beforeLines="0" w:afterLines="0" w:line="240" w:lineRule="auto"/>
                    <w:ind w:left="360" w:hanging="360"/>
                    <w:rPr>
                      <w:rFonts w:ascii="Times New Roman"/>
                      <w:color w:val="auto"/>
                      <w:sz w:val="18"/>
                      <w:szCs w:val="18"/>
                    </w:rPr>
                  </w:pPr>
                  <w:r>
                    <w:rPr>
                      <w:rFonts w:ascii="Times New Roman"/>
                      <w:color w:val="auto"/>
                      <w:sz w:val="18"/>
                      <w:szCs w:val="18"/>
                    </w:rPr>
                    <w:t>达标</w:t>
                  </w:r>
                </w:p>
                <w:p w14:paraId="506DD54A">
                  <w:pPr>
                    <w:pStyle w:val="33"/>
                    <w:spacing w:beforeLines="0" w:afterLines="0" w:line="240" w:lineRule="auto"/>
                    <w:ind w:left="360" w:hanging="360"/>
                    <w:rPr>
                      <w:rFonts w:ascii="Times New Roman"/>
                      <w:color w:val="auto"/>
                      <w:sz w:val="18"/>
                      <w:szCs w:val="18"/>
                    </w:rPr>
                  </w:pPr>
                  <w:r>
                    <w:rPr>
                      <w:rFonts w:ascii="Times New Roman"/>
                      <w:color w:val="auto"/>
                      <w:sz w:val="18"/>
                      <w:szCs w:val="18"/>
                    </w:rPr>
                    <w:t>情况</w:t>
                  </w:r>
                </w:p>
              </w:tc>
            </w:tr>
            <w:tr w14:paraId="2214779E">
              <w:tblPrEx>
                <w:tblCellMar>
                  <w:top w:w="0" w:type="dxa"/>
                  <w:left w:w="0" w:type="dxa"/>
                  <w:bottom w:w="0" w:type="dxa"/>
                  <w:right w:w="0" w:type="dxa"/>
                </w:tblCellMar>
              </w:tblPrEx>
              <w:trPr>
                <w:trHeight w:val="23" w:hRule="atLeast"/>
                <w:jc w:val="center"/>
              </w:trPr>
              <w:tc>
                <w:tcPr>
                  <w:tcW w:w="627" w:type="pct"/>
                  <w:tcBorders>
                    <w:top w:val="single" w:color="000000" w:sz="4" w:space="0"/>
                    <w:left w:val="nil"/>
                    <w:bottom w:val="single" w:color="000000" w:sz="4" w:space="0"/>
                    <w:right w:val="single" w:color="000000" w:sz="4" w:space="0"/>
                  </w:tcBorders>
                  <w:vAlign w:val="center"/>
                </w:tcPr>
                <w:p w14:paraId="17564014">
                  <w:pPr>
                    <w:pStyle w:val="33"/>
                    <w:spacing w:beforeLines="0" w:afterLines="0" w:line="240" w:lineRule="auto"/>
                    <w:ind w:left="360" w:hanging="360"/>
                    <w:rPr>
                      <w:rFonts w:ascii="Times New Roman"/>
                      <w:color w:val="auto"/>
                      <w:sz w:val="18"/>
                      <w:szCs w:val="18"/>
                    </w:rPr>
                  </w:pPr>
                  <w:r>
                    <w:rPr>
                      <w:rFonts w:ascii="Times New Roman"/>
                      <w:color w:val="auto"/>
                      <w:sz w:val="18"/>
                      <w:szCs w:val="18"/>
                    </w:rPr>
                    <w:t>PM</w:t>
                  </w:r>
                  <w:r>
                    <w:rPr>
                      <w:rFonts w:ascii="Times New Roman"/>
                      <w:color w:val="auto"/>
                      <w:sz w:val="18"/>
                      <w:szCs w:val="18"/>
                      <w:vertAlign w:val="subscript"/>
                    </w:rPr>
                    <w:t>10</w:t>
                  </w:r>
                </w:p>
              </w:tc>
              <w:tc>
                <w:tcPr>
                  <w:tcW w:w="443" w:type="pct"/>
                  <w:tcBorders>
                    <w:top w:val="single" w:color="000000" w:sz="4" w:space="0"/>
                    <w:left w:val="single" w:color="000000" w:sz="4" w:space="0"/>
                    <w:bottom w:val="single" w:color="000000" w:sz="4" w:space="0"/>
                    <w:right w:val="single" w:color="000000" w:sz="4" w:space="0"/>
                  </w:tcBorders>
                  <w:vAlign w:val="center"/>
                </w:tcPr>
                <w:p w14:paraId="0A3AE3DA">
                  <w:pPr>
                    <w:pStyle w:val="33"/>
                    <w:spacing w:beforeLines="0" w:afterLines="0" w:line="240" w:lineRule="auto"/>
                    <w:ind w:left="360" w:hanging="360"/>
                    <w:rPr>
                      <w:rFonts w:ascii="Times New Roman"/>
                      <w:color w:val="auto"/>
                      <w:sz w:val="18"/>
                      <w:szCs w:val="18"/>
                    </w:rPr>
                  </w:pPr>
                  <w:r>
                    <w:rPr>
                      <w:rFonts w:ascii="Times New Roman"/>
                      <w:color w:val="auto"/>
                      <w:sz w:val="18"/>
                      <w:szCs w:val="18"/>
                    </w:rPr>
                    <w:t>ug/m</w:t>
                  </w:r>
                  <w:r>
                    <w:rPr>
                      <w:rFonts w:ascii="Times New Roman"/>
                      <w:color w:val="auto"/>
                      <w:sz w:val="18"/>
                      <w:szCs w:val="18"/>
                      <w:vertAlign w:val="superscript"/>
                    </w:rPr>
                    <w:t>3</w:t>
                  </w:r>
                </w:p>
              </w:tc>
              <w:tc>
                <w:tcPr>
                  <w:tcW w:w="1247" w:type="pct"/>
                  <w:tcBorders>
                    <w:top w:val="single" w:color="000000" w:sz="4" w:space="0"/>
                    <w:left w:val="single" w:color="000000" w:sz="4" w:space="0"/>
                    <w:bottom w:val="single" w:color="000000" w:sz="4" w:space="0"/>
                    <w:right w:val="single" w:color="000000" w:sz="4" w:space="0"/>
                  </w:tcBorders>
                  <w:vAlign w:val="center"/>
                </w:tcPr>
                <w:p w14:paraId="71076BC6">
                  <w:pPr>
                    <w:pStyle w:val="33"/>
                    <w:spacing w:beforeLines="0" w:afterLines="0" w:line="240" w:lineRule="auto"/>
                    <w:ind w:left="360" w:hanging="360"/>
                    <w:rPr>
                      <w:rFonts w:ascii="Times New Roman"/>
                      <w:color w:val="auto"/>
                      <w:sz w:val="18"/>
                      <w:szCs w:val="18"/>
                    </w:rPr>
                  </w:pPr>
                  <w:r>
                    <w:rPr>
                      <w:rFonts w:ascii="Times New Roman"/>
                      <w:color w:val="auto"/>
                      <w:sz w:val="18"/>
                      <w:szCs w:val="18"/>
                    </w:rPr>
                    <w:t>年平均质量浓度</w:t>
                  </w:r>
                </w:p>
              </w:tc>
              <w:tc>
                <w:tcPr>
                  <w:tcW w:w="454" w:type="pct"/>
                  <w:tcBorders>
                    <w:top w:val="single" w:color="000000" w:sz="4" w:space="0"/>
                    <w:left w:val="single" w:color="000000" w:sz="4" w:space="0"/>
                    <w:bottom w:val="single" w:color="000000" w:sz="4" w:space="0"/>
                    <w:right w:val="single" w:color="000000" w:sz="4" w:space="0"/>
                  </w:tcBorders>
                  <w:vAlign w:val="center"/>
                </w:tcPr>
                <w:p w14:paraId="51F77D99">
                  <w:pPr>
                    <w:pStyle w:val="33"/>
                    <w:spacing w:beforeLines="0" w:afterLines="0" w:line="240" w:lineRule="auto"/>
                    <w:ind w:left="360" w:hanging="360"/>
                    <w:rPr>
                      <w:rFonts w:ascii="Times New Roman"/>
                      <w:color w:val="auto"/>
                      <w:sz w:val="18"/>
                      <w:szCs w:val="18"/>
                    </w:rPr>
                  </w:pPr>
                  <w:r>
                    <w:rPr>
                      <w:rFonts w:hint="eastAsia" w:ascii="Times New Roman"/>
                      <w:color w:val="auto"/>
                      <w:sz w:val="18"/>
                      <w:szCs w:val="18"/>
                    </w:rPr>
                    <w:t>58</w:t>
                  </w:r>
                </w:p>
              </w:tc>
              <w:tc>
                <w:tcPr>
                  <w:tcW w:w="534" w:type="pct"/>
                  <w:tcBorders>
                    <w:top w:val="single" w:color="000000" w:sz="4" w:space="0"/>
                    <w:left w:val="single" w:color="000000" w:sz="4" w:space="0"/>
                    <w:bottom w:val="single" w:color="000000" w:sz="4" w:space="0"/>
                    <w:right w:val="single" w:color="000000" w:sz="4" w:space="0"/>
                  </w:tcBorders>
                  <w:vAlign w:val="center"/>
                </w:tcPr>
                <w:p w14:paraId="63163DB9">
                  <w:pPr>
                    <w:pStyle w:val="33"/>
                    <w:spacing w:beforeLines="0" w:afterLines="0" w:line="240" w:lineRule="auto"/>
                    <w:ind w:left="360" w:hanging="360"/>
                    <w:rPr>
                      <w:rFonts w:ascii="Times New Roman"/>
                      <w:color w:val="auto"/>
                      <w:sz w:val="18"/>
                      <w:szCs w:val="18"/>
                    </w:rPr>
                  </w:pPr>
                  <w:r>
                    <w:rPr>
                      <w:rFonts w:ascii="Times New Roman"/>
                      <w:color w:val="auto"/>
                      <w:sz w:val="18"/>
                      <w:szCs w:val="18"/>
                    </w:rPr>
                    <w:t>70</w:t>
                  </w:r>
                </w:p>
              </w:tc>
              <w:tc>
                <w:tcPr>
                  <w:tcW w:w="558" w:type="pct"/>
                  <w:tcBorders>
                    <w:top w:val="single" w:color="000000" w:sz="4" w:space="0"/>
                    <w:left w:val="single" w:color="000000" w:sz="4" w:space="0"/>
                    <w:bottom w:val="single" w:color="000000" w:sz="4" w:space="0"/>
                    <w:right w:val="single" w:color="000000" w:sz="4" w:space="0"/>
                  </w:tcBorders>
                  <w:vAlign w:val="center"/>
                </w:tcPr>
                <w:p w14:paraId="68693FB7">
                  <w:pPr>
                    <w:pStyle w:val="33"/>
                    <w:spacing w:beforeLines="0" w:afterLines="0" w:line="240" w:lineRule="auto"/>
                    <w:ind w:left="360" w:hanging="360"/>
                    <w:rPr>
                      <w:rFonts w:ascii="Times New Roman"/>
                      <w:color w:val="auto"/>
                      <w:sz w:val="18"/>
                      <w:szCs w:val="18"/>
                    </w:rPr>
                  </w:pPr>
                  <w:r>
                    <w:rPr>
                      <w:rFonts w:ascii="Times New Roman"/>
                      <w:color w:val="auto"/>
                      <w:sz w:val="18"/>
                      <w:szCs w:val="18"/>
                    </w:rPr>
                    <w:t>未超标</w:t>
                  </w:r>
                </w:p>
              </w:tc>
              <w:tc>
                <w:tcPr>
                  <w:tcW w:w="572" w:type="pct"/>
                  <w:tcBorders>
                    <w:top w:val="single" w:color="000000" w:sz="4" w:space="0"/>
                    <w:left w:val="single" w:color="000000" w:sz="4" w:space="0"/>
                    <w:bottom w:val="single" w:color="000000" w:sz="4" w:space="0"/>
                    <w:right w:val="single" w:color="000000" w:sz="4" w:space="0"/>
                  </w:tcBorders>
                  <w:vAlign w:val="center"/>
                </w:tcPr>
                <w:p w14:paraId="3AD81052">
                  <w:pPr>
                    <w:pStyle w:val="33"/>
                    <w:spacing w:beforeLines="0" w:afterLines="0" w:line="240" w:lineRule="auto"/>
                    <w:ind w:left="360" w:hanging="360"/>
                    <w:rPr>
                      <w:rFonts w:ascii="Times New Roman"/>
                      <w:color w:val="auto"/>
                      <w:sz w:val="18"/>
                      <w:szCs w:val="18"/>
                    </w:rPr>
                  </w:pPr>
                  <w:r>
                    <w:rPr>
                      <w:rFonts w:hint="eastAsia" w:ascii="Times New Roman"/>
                      <w:color w:val="auto"/>
                      <w:sz w:val="18"/>
                      <w:szCs w:val="18"/>
                    </w:rPr>
                    <w:t>82.86</w:t>
                  </w:r>
                </w:p>
              </w:tc>
              <w:tc>
                <w:tcPr>
                  <w:tcW w:w="564" w:type="pct"/>
                  <w:tcBorders>
                    <w:top w:val="single" w:color="000000" w:sz="4" w:space="0"/>
                    <w:left w:val="single" w:color="000000" w:sz="4" w:space="0"/>
                    <w:bottom w:val="single" w:color="000000" w:sz="4" w:space="0"/>
                    <w:right w:val="nil"/>
                  </w:tcBorders>
                  <w:vAlign w:val="center"/>
                </w:tcPr>
                <w:p w14:paraId="31BF8CE8">
                  <w:pPr>
                    <w:pStyle w:val="33"/>
                    <w:spacing w:beforeLines="0" w:afterLines="0" w:line="240" w:lineRule="auto"/>
                    <w:ind w:left="360" w:hanging="360"/>
                    <w:rPr>
                      <w:rFonts w:ascii="Times New Roman"/>
                      <w:color w:val="auto"/>
                      <w:sz w:val="18"/>
                      <w:szCs w:val="18"/>
                    </w:rPr>
                  </w:pPr>
                  <w:r>
                    <w:rPr>
                      <w:rFonts w:ascii="Times New Roman"/>
                      <w:color w:val="auto"/>
                      <w:sz w:val="18"/>
                      <w:szCs w:val="18"/>
                    </w:rPr>
                    <w:t>达标</w:t>
                  </w:r>
                </w:p>
              </w:tc>
            </w:tr>
            <w:tr w14:paraId="45C1FD32">
              <w:tblPrEx>
                <w:tblCellMar>
                  <w:top w:w="0" w:type="dxa"/>
                  <w:left w:w="0" w:type="dxa"/>
                  <w:bottom w:w="0" w:type="dxa"/>
                  <w:right w:w="0" w:type="dxa"/>
                </w:tblCellMar>
              </w:tblPrEx>
              <w:trPr>
                <w:trHeight w:val="23" w:hRule="atLeast"/>
                <w:jc w:val="center"/>
              </w:trPr>
              <w:tc>
                <w:tcPr>
                  <w:tcW w:w="627" w:type="pct"/>
                  <w:tcBorders>
                    <w:top w:val="single" w:color="000000" w:sz="4" w:space="0"/>
                    <w:left w:val="nil"/>
                    <w:bottom w:val="single" w:color="000000" w:sz="4" w:space="0"/>
                    <w:right w:val="single" w:color="000000" w:sz="4" w:space="0"/>
                  </w:tcBorders>
                  <w:vAlign w:val="center"/>
                </w:tcPr>
                <w:p w14:paraId="1A4369CF">
                  <w:pPr>
                    <w:pStyle w:val="33"/>
                    <w:spacing w:beforeLines="0" w:afterLines="0" w:line="240" w:lineRule="auto"/>
                    <w:ind w:left="360" w:hanging="360"/>
                    <w:rPr>
                      <w:rFonts w:ascii="Times New Roman"/>
                      <w:color w:val="auto"/>
                      <w:sz w:val="18"/>
                      <w:szCs w:val="18"/>
                    </w:rPr>
                  </w:pPr>
                  <w:r>
                    <w:rPr>
                      <w:rFonts w:ascii="Times New Roman"/>
                      <w:color w:val="auto"/>
                      <w:sz w:val="18"/>
                      <w:szCs w:val="18"/>
                    </w:rPr>
                    <w:t>PM</w:t>
                  </w:r>
                  <w:r>
                    <w:rPr>
                      <w:rFonts w:ascii="Times New Roman"/>
                      <w:color w:val="auto"/>
                      <w:sz w:val="18"/>
                      <w:szCs w:val="18"/>
                      <w:vertAlign w:val="subscript"/>
                    </w:rPr>
                    <w:t>2.5</w:t>
                  </w:r>
                </w:p>
              </w:tc>
              <w:tc>
                <w:tcPr>
                  <w:tcW w:w="443" w:type="pct"/>
                  <w:tcBorders>
                    <w:top w:val="single" w:color="000000" w:sz="4" w:space="0"/>
                    <w:left w:val="single" w:color="000000" w:sz="4" w:space="0"/>
                    <w:bottom w:val="single" w:color="000000" w:sz="4" w:space="0"/>
                    <w:right w:val="single" w:color="000000" w:sz="4" w:space="0"/>
                  </w:tcBorders>
                  <w:vAlign w:val="center"/>
                </w:tcPr>
                <w:p w14:paraId="57192207">
                  <w:pPr>
                    <w:pStyle w:val="33"/>
                    <w:spacing w:beforeLines="0" w:afterLines="0" w:line="240" w:lineRule="auto"/>
                    <w:ind w:left="360" w:hanging="360"/>
                    <w:rPr>
                      <w:rFonts w:ascii="Times New Roman"/>
                      <w:color w:val="auto"/>
                      <w:sz w:val="18"/>
                      <w:szCs w:val="18"/>
                    </w:rPr>
                  </w:pPr>
                  <w:r>
                    <w:rPr>
                      <w:rFonts w:ascii="Times New Roman"/>
                      <w:color w:val="auto"/>
                      <w:sz w:val="18"/>
                      <w:szCs w:val="18"/>
                    </w:rPr>
                    <w:t>ug/m</w:t>
                  </w:r>
                  <w:r>
                    <w:rPr>
                      <w:rFonts w:ascii="Times New Roman"/>
                      <w:color w:val="auto"/>
                      <w:sz w:val="18"/>
                      <w:szCs w:val="18"/>
                      <w:vertAlign w:val="superscript"/>
                    </w:rPr>
                    <w:t>3</w:t>
                  </w:r>
                </w:p>
              </w:tc>
              <w:tc>
                <w:tcPr>
                  <w:tcW w:w="1247" w:type="pct"/>
                  <w:tcBorders>
                    <w:top w:val="single" w:color="000000" w:sz="4" w:space="0"/>
                    <w:left w:val="single" w:color="000000" w:sz="4" w:space="0"/>
                    <w:bottom w:val="single" w:color="000000" w:sz="4" w:space="0"/>
                    <w:right w:val="single" w:color="000000" w:sz="4" w:space="0"/>
                  </w:tcBorders>
                  <w:vAlign w:val="center"/>
                </w:tcPr>
                <w:p w14:paraId="7D0D3EBE">
                  <w:pPr>
                    <w:pStyle w:val="33"/>
                    <w:spacing w:beforeLines="0" w:afterLines="0" w:line="240" w:lineRule="auto"/>
                    <w:ind w:left="360" w:hanging="360"/>
                    <w:rPr>
                      <w:rFonts w:ascii="Times New Roman"/>
                      <w:color w:val="auto"/>
                      <w:sz w:val="18"/>
                      <w:szCs w:val="18"/>
                    </w:rPr>
                  </w:pPr>
                  <w:r>
                    <w:rPr>
                      <w:rFonts w:ascii="Times New Roman"/>
                      <w:color w:val="auto"/>
                      <w:sz w:val="18"/>
                      <w:szCs w:val="18"/>
                    </w:rPr>
                    <w:t>年平均质量浓度</w:t>
                  </w:r>
                </w:p>
              </w:tc>
              <w:tc>
                <w:tcPr>
                  <w:tcW w:w="454" w:type="pct"/>
                  <w:tcBorders>
                    <w:top w:val="single" w:color="000000" w:sz="4" w:space="0"/>
                    <w:left w:val="single" w:color="000000" w:sz="4" w:space="0"/>
                    <w:bottom w:val="single" w:color="000000" w:sz="4" w:space="0"/>
                    <w:right w:val="single" w:color="000000" w:sz="4" w:space="0"/>
                  </w:tcBorders>
                  <w:vAlign w:val="center"/>
                </w:tcPr>
                <w:p w14:paraId="27E3950F">
                  <w:pPr>
                    <w:pStyle w:val="33"/>
                    <w:spacing w:beforeLines="0" w:afterLines="0" w:line="240" w:lineRule="auto"/>
                    <w:ind w:left="360" w:hanging="360"/>
                    <w:rPr>
                      <w:rFonts w:ascii="Times New Roman"/>
                      <w:color w:val="auto"/>
                      <w:sz w:val="18"/>
                      <w:szCs w:val="18"/>
                    </w:rPr>
                  </w:pPr>
                  <w:r>
                    <w:rPr>
                      <w:rFonts w:hint="eastAsia" w:ascii="Times New Roman"/>
                      <w:color w:val="auto"/>
                      <w:sz w:val="18"/>
                      <w:szCs w:val="18"/>
                    </w:rPr>
                    <w:t>24</w:t>
                  </w:r>
                </w:p>
              </w:tc>
              <w:tc>
                <w:tcPr>
                  <w:tcW w:w="534" w:type="pct"/>
                  <w:tcBorders>
                    <w:top w:val="single" w:color="000000" w:sz="4" w:space="0"/>
                    <w:left w:val="single" w:color="000000" w:sz="4" w:space="0"/>
                    <w:bottom w:val="single" w:color="000000" w:sz="4" w:space="0"/>
                    <w:right w:val="single" w:color="000000" w:sz="4" w:space="0"/>
                  </w:tcBorders>
                  <w:vAlign w:val="center"/>
                </w:tcPr>
                <w:p w14:paraId="0ADC2DD6">
                  <w:pPr>
                    <w:pStyle w:val="33"/>
                    <w:spacing w:beforeLines="0" w:afterLines="0" w:line="240" w:lineRule="auto"/>
                    <w:ind w:left="360" w:hanging="360"/>
                    <w:rPr>
                      <w:rFonts w:ascii="Times New Roman"/>
                      <w:color w:val="auto"/>
                      <w:sz w:val="18"/>
                      <w:szCs w:val="18"/>
                    </w:rPr>
                  </w:pPr>
                  <w:r>
                    <w:rPr>
                      <w:rFonts w:ascii="Times New Roman"/>
                      <w:color w:val="auto"/>
                      <w:sz w:val="18"/>
                      <w:szCs w:val="18"/>
                    </w:rPr>
                    <w:t>35</w:t>
                  </w:r>
                </w:p>
              </w:tc>
              <w:tc>
                <w:tcPr>
                  <w:tcW w:w="558" w:type="pct"/>
                  <w:tcBorders>
                    <w:top w:val="single" w:color="000000" w:sz="4" w:space="0"/>
                    <w:left w:val="single" w:color="000000" w:sz="4" w:space="0"/>
                    <w:bottom w:val="single" w:color="000000" w:sz="4" w:space="0"/>
                    <w:right w:val="single" w:color="000000" w:sz="4" w:space="0"/>
                  </w:tcBorders>
                  <w:vAlign w:val="center"/>
                </w:tcPr>
                <w:p w14:paraId="284D1841">
                  <w:pPr>
                    <w:pStyle w:val="33"/>
                    <w:spacing w:beforeLines="0" w:afterLines="0" w:line="240" w:lineRule="auto"/>
                    <w:ind w:left="360" w:hanging="360"/>
                    <w:rPr>
                      <w:rFonts w:ascii="Times New Roman" w:eastAsia="仿宋"/>
                      <w:color w:val="auto"/>
                      <w:sz w:val="18"/>
                      <w:szCs w:val="18"/>
                    </w:rPr>
                  </w:pPr>
                  <w:r>
                    <w:rPr>
                      <w:rFonts w:ascii="Times New Roman"/>
                      <w:color w:val="auto"/>
                      <w:sz w:val="18"/>
                      <w:szCs w:val="18"/>
                    </w:rPr>
                    <w:t>未超标</w:t>
                  </w:r>
                </w:p>
              </w:tc>
              <w:tc>
                <w:tcPr>
                  <w:tcW w:w="572" w:type="pct"/>
                  <w:tcBorders>
                    <w:top w:val="single" w:color="000000" w:sz="4" w:space="0"/>
                    <w:left w:val="single" w:color="000000" w:sz="4" w:space="0"/>
                    <w:bottom w:val="single" w:color="000000" w:sz="4" w:space="0"/>
                    <w:right w:val="single" w:color="000000" w:sz="4" w:space="0"/>
                  </w:tcBorders>
                  <w:vAlign w:val="center"/>
                </w:tcPr>
                <w:p w14:paraId="7E3FEDC8">
                  <w:pPr>
                    <w:pStyle w:val="33"/>
                    <w:spacing w:beforeLines="0" w:afterLines="0" w:line="240" w:lineRule="auto"/>
                    <w:ind w:left="360" w:hanging="360"/>
                    <w:rPr>
                      <w:rFonts w:ascii="Times New Roman"/>
                      <w:color w:val="auto"/>
                      <w:sz w:val="18"/>
                      <w:szCs w:val="18"/>
                    </w:rPr>
                  </w:pPr>
                  <w:r>
                    <w:rPr>
                      <w:rFonts w:hint="eastAsia" w:ascii="Times New Roman"/>
                      <w:color w:val="auto"/>
                      <w:sz w:val="18"/>
                      <w:szCs w:val="18"/>
                    </w:rPr>
                    <w:t>68.57</w:t>
                  </w:r>
                </w:p>
              </w:tc>
              <w:tc>
                <w:tcPr>
                  <w:tcW w:w="564" w:type="pct"/>
                  <w:tcBorders>
                    <w:top w:val="single" w:color="000000" w:sz="4" w:space="0"/>
                    <w:left w:val="single" w:color="000000" w:sz="4" w:space="0"/>
                    <w:bottom w:val="single" w:color="000000" w:sz="4" w:space="0"/>
                    <w:right w:val="nil"/>
                  </w:tcBorders>
                  <w:vAlign w:val="center"/>
                </w:tcPr>
                <w:p w14:paraId="23F17031">
                  <w:pPr>
                    <w:pStyle w:val="33"/>
                    <w:spacing w:beforeLines="0" w:afterLines="0" w:line="240" w:lineRule="auto"/>
                    <w:ind w:left="360" w:hanging="360"/>
                    <w:rPr>
                      <w:rFonts w:ascii="Times New Roman" w:eastAsia="仿宋"/>
                      <w:color w:val="auto"/>
                      <w:sz w:val="18"/>
                      <w:szCs w:val="18"/>
                    </w:rPr>
                  </w:pPr>
                  <w:r>
                    <w:rPr>
                      <w:rFonts w:ascii="Times New Roman"/>
                      <w:color w:val="auto"/>
                      <w:sz w:val="18"/>
                      <w:szCs w:val="18"/>
                    </w:rPr>
                    <w:t>达标</w:t>
                  </w:r>
                </w:p>
              </w:tc>
            </w:tr>
            <w:tr w14:paraId="7B1F8C66">
              <w:tblPrEx>
                <w:tblCellMar>
                  <w:top w:w="0" w:type="dxa"/>
                  <w:left w:w="0" w:type="dxa"/>
                  <w:bottom w:w="0" w:type="dxa"/>
                  <w:right w:w="0" w:type="dxa"/>
                </w:tblCellMar>
              </w:tblPrEx>
              <w:trPr>
                <w:trHeight w:val="23" w:hRule="atLeast"/>
                <w:jc w:val="center"/>
              </w:trPr>
              <w:tc>
                <w:tcPr>
                  <w:tcW w:w="627" w:type="pct"/>
                  <w:tcBorders>
                    <w:top w:val="single" w:color="000000" w:sz="4" w:space="0"/>
                    <w:left w:val="nil"/>
                    <w:bottom w:val="single" w:color="000000" w:sz="4" w:space="0"/>
                    <w:right w:val="single" w:color="000000" w:sz="4" w:space="0"/>
                  </w:tcBorders>
                  <w:vAlign w:val="center"/>
                </w:tcPr>
                <w:p w14:paraId="402C8F59">
                  <w:pPr>
                    <w:pStyle w:val="33"/>
                    <w:spacing w:beforeLines="0" w:afterLines="0" w:line="240" w:lineRule="auto"/>
                    <w:ind w:left="360" w:hanging="360"/>
                    <w:rPr>
                      <w:rFonts w:ascii="Times New Roman"/>
                      <w:color w:val="auto"/>
                      <w:sz w:val="18"/>
                      <w:szCs w:val="18"/>
                    </w:rPr>
                  </w:pPr>
                  <w:r>
                    <w:rPr>
                      <w:rFonts w:ascii="Times New Roman"/>
                      <w:color w:val="auto"/>
                      <w:sz w:val="18"/>
                      <w:szCs w:val="18"/>
                    </w:rPr>
                    <w:t>SO</w:t>
                  </w:r>
                  <w:r>
                    <w:rPr>
                      <w:rFonts w:ascii="Times New Roman"/>
                      <w:color w:val="auto"/>
                      <w:sz w:val="18"/>
                      <w:szCs w:val="18"/>
                      <w:vertAlign w:val="subscript"/>
                    </w:rPr>
                    <w:t>2</w:t>
                  </w:r>
                </w:p>
              </w:tc>
              <w:tc>
                <w:tcPr>
                  <w:tcW w:w="443" w:type="pct"/>
                  <w:tcBorders>
                    <w:top w:val="single" w:color="000000" w:sz="4" w:space="0"/>
                    <w:left w:val="single" w:color="000000" w:sz="4" w:space="0"/>
                    <w:bottom w:val="single" w:color="000000" w:sz="4" w:space="0"/>
                    <w:right w:val="single" w:color="000000" w:sz="4" w:space="0"/>
                  </w:tcBorders>
                  <w:vAlign w:val="center"/>
                </w:tcPr>
                <w:p w14:paraId="39C77528">
                  <w:pPr>
                    <w:pStyle w:val="33"/>
                    <w:spacing w:beforeLines="0" w:afterLines="0" w:line="240" w:lineRule="auto"/>
                    <w:ind w:left="360" w:hanging="360"/>
                    <w:rPr>
                      <w:rFonts w:ascii="Times New Roman"/>
                      <w:color w:val="auto"/>
                      <w:sz w:val="18"/>
                      <w:szCs w:val="18"/>
                    </w:rPr>
                  </w:pPr>
                  <w:r>
                    <w:rPr>
                      <w:rFonts w:ascii="Times New Roman"/>
                      <w:color w:val="auto"/>
                      <w:sz w:val="18"/>
                      <w:szCs w:val="18"/>
                    </w:rPr>
                    <w:t>ug/m</w:t>
                  </w:r>
                  <w:r>
                    <w:rPr>
                      <w:rFonts w:ascii="Times New Roman"/>
                      <w:color w:val="auto"/>
                      <w:sz w:val="18"/>
                      <w:szCs w:val="18"/>
                      <w:vertAlign w:val="superscript"/>
                    </w:rPr>
                    <w:t>3</w:t>
                  </w:r>
                </w:p>
              </w:tc>
              <w:tc>
                <w:tcPr>
                  <w:tcW w:w="1247" w:type="pct"/>
                  <w:tcBorders>
                    <w:top w:val="single" w:color="000000" w:sz="4" w:space="0"/>
                    <w:left w:val="single" w:color="000000" w:sz="4" w:space="0"/>
                    <w:bottom w:val="single" w:color="000000" w:sz="4" w:space="0"/>
                    <w:right w:val="single" w:color="000000" w:sz="4" w:space="0"/>
                  </w:tcBorders>
                  <w:vAlign w:val="center"/>
                </w:tcPr>
                <w:p w14:paraId="06260039">
                  <w:pPr>
                    <w:pStyle w:val="33"/>
                    <w:spacing w:beforeLines="0" w:afterLines="0" w:line="240" w:lineRule="auto"/>
                    <w:ind w:left="360" w:hanging="360"/>
                    <w:rPr>
                      <w:rFonts w:ascii="Times New Roman"/>
                      <w:color w:val="auto"/>
                      <w:sz w:val="18"/>
                      <w:szCs w:val="18"/>
                    </w:rPr>
                  </w:pPr>
                  <w:r>
                    <w:rPr>
                      <w:rFonts w:ascii="Times New Roman"/>
                      <w:color w:val="auto"/>
                      <w:sz w:val="18"/>
                      <w:szCs w:val="18"/>
                    </w:rPr>
                    <w:t>年平均质量浓度</w:t>
                  </w:r>
                </w:p>
              </w:tc>
              <w:tc>
                <w:tcPr>
                  <w:tcW w:w="454" w:type="pct"/>
                  <w:tcBorders>
                    <w:top w:val="single" w:color="000000" w:sz="4" w:space="0"/>
                    <w:left w:val="single" w:color="000000" w:sz="4" w:space="0"/>
                    <w:bottom w:val="single" w:color="000000" w:sz="4" w:space="0"/>
                    <w:right w:val="single" w:color="000000" w:sz="4" w:space="0"/>
                  </w:tcBorders>
                  <w:vAlign w:val="center"/>
                </w:tcPr>
                <w:p w14:paraId="7A0804E0">
                  <w:pPr>
                    <w:pStyle w:val="33"/>
                    <w:spacing w:beforeLines="0" w:afterLines="0" w:line="240" w:lineRule="auto"/>
                    <w:ind w:left="360" w:hanging="360"/>
                    <w:rPr>
                      <w:rFonts w:ascii="Times New Roman"/>
                      <w:color w:val="auto"/>
                      <w:sz w:val="18"/>
                      <w:szCs w:val="18"/>
                    </w:rPr>
                  </w:pPr>
                  <w:r>
                    <w:rPr>
                      <w:rFonts w:hint="eastAsia" w:ascii="Times New Roman"/>
                      <w:color w:val="auto"/>
                      <w:sz w:val="18"/>
                      <w:szCs w:val="18"/>
                    </w:rPr>
                    <w:t>12</w:t>
                  </w:r>
                </w:p>
              </w:tc>
              <w:tc>
                <w:tcPr>
                  <w:tcW w:w="534" w:type="pct"/>
                  <w:tcBorders>
                    <w:top w:val="single" w:color="000000" w:sz="4" w:space="0"/>
                    <w:left w:val="single" w:color="000000" w:sz="4" w:space="0"/>
                    <w:bottom w:val="single" w:color="000000" w:sz="4" w:space="0"/>
                    <w:right w:val="single" w:color="000000" w:sz="4" w:space="0"/>
                  </w:tcBorders>
                  <w:vAlign w:val="center"/>
                </w:tcPr>
                <w:p w14:paraId="794CC58A">
                  <w:pPr>
                    <w:pStyle w:val="33"/>
                    <w:spacing w:beforeLines="0" w:afterLines="0" w:line="240" w:lineRule="auto"/>
                    <w:ind w:left="360" w:hanging="360"/>
                    <w:rPr>
                      <w:rFonts w:ascii="Times New Roman"/>
                      <w:color w:val="auto"/>
                      <w:sz w:val="18"/>
                      <w:szCs w:val="18"/>
                    </w:rPr>
                  </w:pPr>
                  <w:r>
                    <w:rPr>
                      <w:rFonts w:ascii="Times New Roman"/>
                      <w:color w:val="auto"/>
                      <w:sz w:val="18"/>
                      <w:szCs w:val="18"/>
                    </w:rPr>
                    <w:t>60</w:t>
                  </w:r>
                </w:p>
              </w:tc>
              <w:tc>
                <w:tcPr>
                  <w:tcW w:w="558" w:type="pct"/>
                  <w:tcBorders>
                    <w:top w:val="single" w:color="000000" w:sz="4" w:space="0"/>
                    <w:left w:val="single" w:color="000000" w:sz="4" w:space="0"/>
                    <w:bottom w:val="single" w:color="000000" w:sz="4" w:space="0"/>
                    <w:right w:val="single" w:color="000000" w:sz="4" w:space="0"/>
                  </w:tcBorders>
                  <w:vAlign w:val="center"/>
                </w:tcPr>
                <w:p w14:paraId="4765220B">
                  <w:pPr>
                    <w:pStyle w:val="33"/>
                    <w:spacing w:beforeLines="0" w:afterLines="0" w:line="240" w:lineRule="auto"/>
                    <w:ind w:left="360" w:hanging="360"/>
                    <w:rPr>
                      <w:rFonts w:ascii="Times New Roman"/>
                      <w:color w:val="auto"/>
                      <w:sz w:val="18"/>
                      <w:szCs w:val="18"/>
                    </w:rPr>
                  </w:pPr>
                  <w:r>
                    <w:rPr>
                      <w:rFonts w:ascii="Times New Roman"/>
                      <w:color w:val="auto"/>
                      <w:sz w:val="18"/>
                      <w:szCs w:val="18"/>
                    </w:rPr>
                    <w:t>未超标</w:t>
                  </w:r>
                </w:p>
              </w:tc>
              <w:tc>
                <w:tcPr>
                  <w:tcW w:w="572" w:type="pct"/>
                  <w:tcBorders>
                    <w:top w:val="single" w:color="000000" w:sz="4" w:space="0"/>
                    <w:left w:val="single" w:color="000000" w:sz="4" w:space="0"/>
                    <w:bottom w:val="single" w:color="000000" w:sz="4" w:space="0"/>
                    <w:right w:val="single" w:color="000000" w:sz="4" w:space="0"/>
                  </w:tcBorders>
                  <w:vAlign w:val="center"/>
                </w:tcPr>
                <w:p w14:paraId="7E98AE6B">
                  <w:pPr>
                    <w:pStyle w:val="33"/>
                    <w:spacing w:beforeLines="0" w:afterLines="0" w:line="240" w:lineRule="auto"/>
                    <w:ind w:left="360" w:hanging="360"/>
                    <w:rPr>
                      <w:rFonts w:ascii="Times New Roman"/>
                      <w:color w:val="auto"/>
                      <w:sz w:val="18"/>
                      <w:szCs w:val="18"/>
                    </w:rPr>
                  </w:pPr>
                  <w:r>
                    <w:rPr>
                      <w:rFonts w:hint="eastAsia" w:ascii="Times New Roman"/>
                      <w:color w:val="auto"/>
                      <w:sz w:val="18"/>
                      <w:szCs w:val="18"/>
                    </w:rPr>
                    <w:t>20</w:t>
                  </w:r>
                </w:p>
              </w:tc>
              <w:tc>
                <w:tcPr>
                  <w:tcW w:w="564" w:type="pct"/>
                  <w:tcBorders>
                    <w:top w:val="single" w:color="000000" w:sz="4" w:space="0"/>
                    <w:left w:val="single" w:color="000000" w:sz="4" w:space="0"/>
                    <w:bottom w:val="single" w:color="000000" w:sz="4" w:space="0"/>
                    <w:right w:val="nil"/>
                  </w:tcBorders>
                  <w:vAlign w:val="center"/>
                </w:tcPr>
                <w:p w14:paraId="45A37A56">
                  <w:pPr>
                    <w:pStyle w:val="33"/>
                    <w:spacing w:beforeLines="0" w:afterLines="0" w:line="240" w:lineRule="auto"/>
                    <w:ind w:left="360" w:hanging="360"/>
                    <w:rPr>
                      <w:rFonts w:ascii="Times New Roman"/>
                      <w:color w:val="auto"/>
                      <w:sz w:val="18"/>
                      <w:szCs w:val="18"/>
                    </w:rPr>
                  </w:pPr>
                  <w:r>
                    <w:rPr>
                      <w:rFonts w:ascii="Times New Roman"/>
                      <w:color w:val="auto"/>
                      <w:sz w:val="18"/>
                      <w:szCs w:val="18"/>
                    </w:rPr>
                    <w:t>达标</w:t>
                  </w:r>
                </w:p>
              </w:tc>
            </w:tr>
            <w:tr w14:paraId="6E61D365">
              <w:tblPrEx>
                <w:tblCellMar>
                  <w:top w:w="0" w:type="dxa"/>
                  <w:left w:w="0" w:type="dxa"/>
                  <w:bottom w:w="0" w:type="dxa"/>
                  <w:right w:w="0" w:type="dxa"/>
                </w:tblCellMar>
              </w:tblPrEx>
              <w:trPr>
                <w:trHeight w:val="23" w:hRule="atLeast"/>
                <w:jc w:val="center"/>
              </w:trPr>
              <w:tc>
                <w:tcPr>
                  <w:tcW w:w="627" w:type="pct"/>
                  <w:tcBorders>
                    <w:top w:val="single" w:color="000000" w:sz="4" w:space="0"/>
                    <w:left w:val="nil"/>
                    <w:bottom w:val="single" w:color="000000" w:sz="4" w:space="0"/>
                    <w:right w:val="single" w:color="000000" w:sz="4" w:space="0"/>
                  </w:tcBorders>
                  <w:vAlign w:val="center"/>
                </w:tcPr>
                <w:p w14:paraId="70DA3AB9">
                  <w:pPr>
                    <w:pStyle w:val="33"/>
                    <w:spacing w:beforeLines="0" w:afterLines="0" w:line="240" w:lineRule="auto"/>
                    <w:ind w:left="360" w:hanging="360"/>
                    <w:rPr>
                      <w:rFonts w:ascii="Times New Roman"/>
                      <w:color w:val="auto"/>
                      <w:sz w:val="18"/>
                      <w:szCs w:val="18"/>
                    </w:rPr>
                  </w:pPr>
                  <w:r>
                    <w:rPr>
                      <w:rFonts w:ascii="Times New Roman"/>
                      <w:color w:val="auto"/>
                      <w:sz w:val="18"/>
                      <w:szCs w:val="18"/>
                    </w:rPr>
                    <w:t>NO</w:t>
                  </w:r>
                  <w:r>
                    <w:rPr>
                      <w:rFonts w:ascii="Times New Roman"/>
                      <w:color w:val="auto"/>
                      <w:sz w:val="18"/>
                      <w:szCs w:val="18"/>
                      <w:vertAlign w:val="subscript"/>
                    </w:rPr>
                    <w:t>2</w:t>
                  </w:r>
                </w:p>
              </w:tc>
              <w:tc>
                <w:tcPr>
                  <w:tcW w:w="443" w:type="pct"/>
                  <w:tcBorders>
                    <w:top w:val="single" w:color="000000" w:sz="4" w:space="0"/>
                    <w:left w:val="single" w:color="000000" w:sz="4" w:space="0"/>
                    <w:bottom w:val="single" w:color="000000" w:sz="4" w:space="0"/>
                    <w:right w:val="single" w:color="000000" w:sz="4" w:space="0"/>
                  </w:tcBorders>
                  <w:vAlign w:val="center"/>
                </w:tcPr>
                <w:p w14:paraId="12693918">
                  <w:pPr>
                    <w:pStyle w:val="33"/>
                    <w:spacing w:beforeLines="0" w:afterLines="0" w:line="240" w:lineRule="auto"/>
                    <w:ind w:left="360" w:hanging="360"/>
                    <w:rPr>
                      <w:rFonts w:ascii="Times New Roman"/>
                      <w:color w:val="auto"/>
                      <w:sz w:val="18"/>
                      <w:szCs w:val="18"/>
                    </w:rPr>
                  </w:pPr>
                  <w:r>
                    <w:rPr>
                      <w:rFonts w:ascii="Times New Roman"/>
                      <w:color w:val="auto"/>
                      <w:sz w:val="18"/>
                      <w:szCs w:val="18"/>
                    </w:rPr>
                    <w:t>ug/m</w:t>
                  </w:r>
                  <w:r>
                    <w:rPr>
                      <w:rFonts w:ascii="Times New Roman"/>
                      <w:color w:val="auto"/>
                      <w:sz w:val="18"/>
                      <w:szCs w:val="18"/>
                      <w:vertAlign w:val="superscript"/>
                    </w:rPr>
                    <w:t>3</w:t>
                  </w:r>
                </w:p>
              </w:tc>
              <w:tc>
                <w:tcPr>
                  <w:tcW w:w="1247" w:type="pct"/>
                  <w:tcBorders>
                    <w:top w:val="single" w:color="000000" w:sz="4" w:space="0"/>
                    <w:left w:val="single" w:color="000000" w:sz="4" w:space="0"/>
                    <w:bottom w:val="single" w:color="000000" w:sz="4" w:space="0"/>
                    <w:right w:val="single" w:color="000000" w:sz="4" w:space="0"/>
                  </w:tcBorders>
                  <w:vAlign w:val="center"/>
                </w:tcPr>
                <w:p w14:paraId="5D875014">
                  <w:pPr>
                    <w:pStyle w:val="33"/>
                    <w:spacing w:beforeLines="0" w:afterLines="0" w:line="240" w:lineRule="auto"/>
                    <w:ind w:left="360" w:hanging="360"/>
                    <w:rPr>
                      <w:rFonts w:ascii="Times New Roman"/>
                      <w:color w:val="auto"/>
                      <w:sz w:val="18"/>
                      <w:szCs w:val="18"/>
                    </w:rPr>
                  </w:pPr>
                  <w:r>
                    <w:rPr>
                      <w:rFonts w:ascii="Times New Roman"/>
                      <w:color w:val="auto"/>
                      <w:sz w:val="18"/>
                      <w:szCs w:val="18"/>
                    </w:rPr>
                    <w:t>年平均质量浓度</w:t>
                  </w:r>
                </w:p>
              </w:tc>
              <w:tc>
                <w:tcPr>
                  <w:tcW w:w="454" w:type="pct"/>
                  <w:tcBorders>
                    <w:top w:val="single" w:color="000000" w:sz="4" w:space="0"/>
                    <w:left w:val="single" w:color="000000" w:sz="4" w:space="0"/>
                    <w:bottom w:val="single" w:color="000000" w:sz="4" w:space="0"/>
                    <w:right w:val="single" w:color="000000" w:sz="4" w:space="0"/>
                  </w:tcBorders>
                  <w:vAlign w:val="center"/>
                </w:tcPr>
                <w:p w14:paraId="675F8310">
                  <w:pPr>
                    <w:pStyle w:val="33"/>
                    <w:spacing w:beforeLines="0" w:afterLines="0" w:line="240" w:lineRule="auto"/>
                    <w:ind w:left="360" w:hanging="360"/>
                    <w:rPr>
                      <w:rFonts w:ascii="Times New Roman"/>
                      <w:color w:val="auto"/>
                      <w:sz w:val="18"/>
                      <w:szCs w:val="18"/>
                    </w:rPr>
                  </w:pPr>
                  <w:r>
                    <w:rPr>
                      <w:rFonts w:hint="eastAsia" w:ascii="Times New Roman"/>
                      <w:color w:val="auto"/>
                      <w:sz w:val="18"/>
                      <w:szCs w:val="18"/>
                    </w:rPr>
                    <w:t>22</w:t>
                  </w:r>
                </w:p>
              </w:tc>
              <w:tc>
                <w:tcPr>
                  <w:tcW w:w="534" w:type="pct"/>
                  <w:tcBorders>
                    <w:top w:val="single" w:color="000000" w:sz="4" w:space="0"/>
                    <w:left w:val="single" w:color="000000" w:sz="4" w:space="0"/>
                    <w:bottom w:val="single" w:color="000000" w:sz="4" w:space="0"/>
                    <w:right w:val="single" w:color="000000" w:sz="4" w:space="0"/>
                  </w:tcBorders>
                  <w:vAlign w:val="center"/>
                </w:tcPr>
                <w:p w14:paraId="6F686E83">
                  <w:pPr>
                    <w:pStyle w:val="33"/>
                    <w:spacing w:beforeLines="0" w:afterLines="0" w:line="240" w:lineRule="auto"/>
                    <w:ind w:left="360" w:hanging="360"/>
                    <w:rPr>
                      <w:rFonts w:ascii="Times New Roman"/>
                      <w:color w:val="auto"/>
                      <w:sz w:val="18"/>
                      <w:szCs w:val="18"/>
                    </w:rPr>
                  </w:pPr>
                  <w:r>
                    <w:rPr>
                      <w:rFonts w:ascii="Times New Roman"/>
                      <w:color w:val="auto"/>
                      <w:sz w:val="18"/>
                      <w:szCs w:val="18"/>
                    </w:rPr>
                    <w:t>40</w:t>
                  </w:r>
                </w:p>
              </w:tc>
              <w:tc>
                <w:tcPr>
                  <w:tcW w:w="558" w:type="pct"/>
                  <w:tcBorders>
                    <w:top w:val="single" w:color="000000" w:sz="4" w:space="0"/>
                    <w:left w:val="single" w:color="000000" w:sz="4" w:space="0"/>
                    <w:bottom w:val="single" w:color="000000" w:sz="4" w:space="0"/>
                    <w:right w:val="single" w:color="000000" w:sz="4" w:space="0"/>
                  </w:tcBorders>
                  <w:vAlign w:val="center"/>
                </w:tcPr>
                <w:p w14:paraId="419A63AF">
                  <w:pPr>
                    <w:pStyle w:val="33"/>
                    <w:spacing w:beforeLines="0" w:afterLines="0" w:line="240" w:lineRule="auto"/>
                    <w:ind w:left="360" w:hanging="360"/>
                    <w:rPr>
                      <w:rFonts w:ascii="Times New Roman"/>
                      <w:color w:val="auto"/>
                      <w:sz w:val="18"/>
                      <w:szCs w:val="18"/>
                    </w:rPr>
                  </w:pPr>
                  <w:r>
                    <w:rPr>
                      <w:rFonts w:ascii="Times New Roman"/>
                      <w:color w:val="auto"/>
                      <w:sz w:val="18"/>
                      <w:szCs w:val="18"/>
                    </w:rPr>
                    <w:t>未超标</w:t>
                  </w:r>
                </w:p>
              </w:tc>
              <w:tc>
                <w:tcPr>
                  <w:tcW w:w="572" w:type="pct"/>
                  <w:tcBorders>
                    <w:top w:val="single" w:color="000000" w:sz="4" w:space="0"/>
                    <w:left w:val="single" w:color="000000" w:sz="4" w:space="0"/>
                    <w:bottom w:val="single" w:color="000000" w:sz="4" w:space="0"/>
                    <w:right w:val="single" w:color="000000" w:sz="4" w:space="0"/>
                  </w:tcBorders>
                  <w:vAlign w:val="center"/>
                </w:tcPr>
                <w:p w14:paraId="12D1A78A">
                  <w:pPr>
                    <w:pStyle w:val="33"/>
                    <w:spacing w:beforeLines="0" w:afterLines="0" w:line="240" w:lineRule="auto"/>
                    <w:ind w:left="360" w:hanging="360"/>
                    <w:rPr>
                      <w:rFonts w:ascii="Times New Roman"/>
                      <w:color w:val="auto"/>
                      <w:sz w:val="18"/>
                      <w:szCs w:val="18"/>
                    </w:rPr>
                  </w:pPr>
                  <w:r>
                    <w:rPr>
                      <w:rFonts w:hint="eastAsia" w:ascii="Times New Roman"/>
                      <w:color w:val="auto"/>
                      <w:sz w:val="18"/>
                      <w:szCs w:val="18"/>
                    </w:rPr>
                    <w:t>55</w:t>
                  </w:r>
                </w:p>
              </w:tc>
              <w:tc>
                <w:tcPr>
                  <w:tcW w:w="564" w:type="pct"/>
                  <w:tcBorders>
                    <w:top w:val="single" w:color="000000" w:sz="4" w:space="0"/>
                    <w:left w:val="single" w:color="000000" w:sz="4" w:space="0"/>
                    <w:bottom w:val="single" w:color="000000" w:sz="4" w:space="0"/>
                    <w:right w:val="nil"/>
                  </w:tcBorders>
                  <w:vAlign w:val="center"/>
                </w:tcPr>
                <w:p w14:paraId="546FB6A7">
                  <w:pPr>
                    <w:pStyle w:val="33"/>
                    <w:spacing w:beforeLines="0" w:afterLines="0" w:line="240" w:lineRule="auto"/>
                    <w:ind w:left="360" w:hanging="360"/>
                    <w:rPr>
                      <w:rFonts w:ascii="Times New Roman"/>
                      <w:color w:val="auto"/>
                      <w:sz w:val="18"/>
                      <w:szCs w:val="18"/>
                    </w:rPr>
                  </w:pPr>
                  <w:r>
                    <w:rPr>
                      <w:rFonts w:ascii="Times New Roman"/>
                      <w:color w:val="auto"/>
                      <w:sz w:val="18"/>
                      <w:szCs w:val="18"/>
                    </w:rPr>
                    <w:t>达标</w:t>
                  </w:r>
                </w:p>
              </w:tc>
            </w:tr>
            <w:tr w14:paraId="480FE743">
              <w:tblPrEx>
                <w:tblCellMar>
                  <w:top w:w="0" w:type="dxa"/>
                  <w:left w:w="0" w:type="dxa"/>
                  <w:bottom w:w="0" w:type="dxa"/>
                  <w:right w:w="0" w:type="dxa"/>
                </w:tblCellMar>
              </w:tblPrEx>
              <w:trPr>
                <w:trHeight w:val="23" w:hRule="atLeast"/>
                <w:jc w:val="center"/>
              </w:trPr>
              <w:tc>
                <w:tcPr>
                  <w:tcW w:w="627" w:type="pct"/>
                  <w:tcBorders>
                    <w:top w:val="single" w:color="000000" w:sz="4" w:space="0"/>
                    <w:left w:val="nil"/>
                    <w:bottom w:val="single" w:color="000000" w:sz="4" w:space="0"/>
                    <w:right w:val="single" w:color="000000" w:sz="4" w:space="0"/>
                  </w:tcBorders>
                  <w:vAlign w:val="center"/>
                </w:tcPr>
                <w:p w14:paraId="3C203072">
                  <w:pPr>
                    <w:pStyle w:val="33"/>
                    <w:spacing w:beforeLines="0" w:afterLines="0" w:line="240" w:lineRule="auto"/>
                    <w:ind w:left="360" w:hanging="360"/>
                    <w:rPr>
                      <w:rFonts w:ascii="Times New Roman"/>
                      <w:color w:val="auto"/>
                      <w:sz w:val="18"/>
                      <w:szCs w:val="18"/>
                    </w:rPr>
                  </w:pPr>
                  <w:r>
                    <w:rPr>
                      <w:rFonts w:ascii="Times New Roman"/>
                      <w:color w:val="auto"/>
                      <w:sz w:val="18"/>
                      <w:szCs w:val="18"/>
                    </w:rPr>
                    <w:t>CO</w:t>
                  </w:r>
                </w:p>
              </w:tc>
              <w:tc>
                <w:tcPr>
                  <w:tcW w:w="443" w:type="pct"/>
                  <w:tcBorders>
                    <w:top w:val="single" w:color="000000" w:sz="4" w:space="0"/>
                    <w:left w:val="single" w:color="000000" w:sz="4" w:space="0"/>
                    <w:bottom w:val="single" w:color="000000" w:sz="4" w:space="0"/>
                    <w:right w:val="single" w:color="000000" w:sz="4" w:space="0"/>
                  </w:tcBorders>
                  <w:vAlign w:val="center"/>
                </w:tcPr>
                <w:p w14:paraId="60C741A6">
                  <w:pPr>
                    <w:pStyle w:val="33"/>
                    <w:spacing w:beforeLines="0" w:afterLines="0" w:line="240" w:lineRule="auto"/>
                    <w:ind w:left="360" w:hanging="360"/>
                    <w:rPr>
                      <w:rFonts w:ascii="Times New Roman"/>
                      <w:color w:val="auto"/>
                      <w:sz w:val="18"/>
                      <w:szCs w:val="18"/>
                    </w:rPr>
                  </w:pPr>
                  <w:r>
                    <w:rPr>
                      <w:rFonts w:ascii="Times New Roman"/>
                      <w:color w:val="auto"/>
                      <w:sz w:val="18"/>
                      <w:szCs w:val="18"/>
                    </w:rPr>
                    <w:t>mg/m</w:t>
                  </w:r>
                  <w:r>
                    <w:rPr>
                      <w:rFonts w:ascii="Times New Roman"/>
                      <w:color w:val="auto"/>
                      <w:sz w:val="18"/>
                      <w:szCs w:val="18"/>
                      <w:vertAlign w:val="superscript"/>
                    </w:rPr>
                    <w:t>3</w:t>
                  </w:r>
                </w:p>
              </w:tc>
              <w:tc>
                <w:tcPr>
                  <w:tcW w:w="1247" w:type="pct"/>
                  <w:tcBorders>
                    <w:top w:val="single" w:color="000000" w:sz="4" w:space="0"/>
                    <w:left w:val="single" w:color="000000" w:sz="4" w:space="0"/>
                    <w:bottom w:val="single" w:color="000000" w:sz="4" w:space="0"/>
                    <w:right w:val="single" w:color="000000" w:sz="4" w:space="0"/>
                  </w:tcBorders>
                  <w:vAlign w:val="center"/>
                </w:tcPr>
                <w:p w14:paraId="428001A6">
                  <w:pPr>
                    <w:pStyle w:val="33"/>
                    <w:spacing w:beforeLines="0" w:afterLines="0" w:line="240" w:lineRule="auto"/>
                    <w:ind w:left="360" w:hanging="360"/>
                    <w:rPr>
                      <w:rFonts w:ascii="Times New Roman"/>
                      <w:color w:val="auto"/>
                      <w:sz w:val="18"/>
                      <w:szCs w:val="18"/>
                    </w:rPr>
                  </w:pPr>
                  <w:r>
                    <w:rPr>
                      <w:rFonts w:ascii="Times New Roman"/>
                      <w:color w:val="auto"/>
                      <w:sz w:val="18"/>
                      <w:szCs w:val="18"/>
                    </w:rPr>
                    <w:t>年24h平均第95百分位数</w:t>
                  </w:r>
                </w:p>
              </w:tc>
              <w:tc>
                <w:tcPr>
                  <w:tcW w:w="454" w:type="pct"/>
                  <w:tcBorders>
                    <w:top w:val="single" w:color="000000" w:sz="4" w:space="0"/>
                    <w:left w:val="single" w:color="000000" w:sz="4" w:space="0"/>
                    <w:bottom w:val="single" w:color="000000" w:sz="4" w:space="0"/>
                    <w:right w:val="single" w:color="000000" w:sz="4" w:space="0"/>
                  </w:tcBorders>
                  <w:vAlign w:val="center"/>
                </w:tcPr>
                <w:p w14:paraId="275EFCB6">
                  <w:pPr>
                    <w:pStyle w:val="33"/>
                    <w:spacing w:beforeLines="0" w:afterLines="0" w:line="240" w:lineRule="auto"/>
                    <w:ind w:left="360" w:hanging="360"/>
                    <w:rPr>
                      <w:rFonts w:ascii="Times New Roman"/>
                      <w:color w:val="auto"/>
                      <w:sz w:val="18"/>
                      <w:szCs w:val="18"/>
                    </w:rPr>
                  </w:pPr>
                  <w:r>
                    <w:rPr>
                      <w:rFonts w:hint="eastAsia" w:ascii="Times New Roman"/>
                      <w:color w:val="auto"/>
                      <w:sz w:val="18"/>
                      <w:szCs w:val="18"/>
                    </w:rPr>
                    <w:t>1.3</w:t>
                  </w:r>
                </w:p>
              </w:tc>
              <w:tc>
                <w:tcPr>
                  <w:tcW w:w="534" w:type="pct"/>
                  <w:tcBorders>
                    <w:top w:val="single" w:color="000000" w:sz="4" w:space="0"/>
                    <w:left w:val="single" w:color="000000" w:sz="4" w:space="0"/>
                    <w:bottom w:val="single" w:color="000000" w:sz="4" w:space="0"/>
                    <w:right w:val="single" w:color="000000" w:sz="4" w:space="0"/>
                  </w:tcBorders>
                  <w:vAlign w:val="center"/>
                </w:tcPr>
                <w:p w14:paraId="7C263AB0">
                  <w:pPr>
                    <w:pStyle w:val="33"/>
                    <w:spacing w:beforeLines="0" w:afterLines="0" w:line="240" w:lineRule="auto"/>
                    <w:ind w:left="360" w:hanging="360"/>
                    <w:rPr>
                      <w:rFonts w:ascii="Times New Roman"/>
                      <w:color w:val="auto"/>
                      <w:sz w:val="18"/>
                      <w:szCs w:val="18"/>
                    </w:rPr>
                  </w:pPr>
                  <w:r>
                    <w:rPr>
                      <w:rFonts w:ascii="Times New Roman"/>
                      <w:color w:val="auto"/>
                      <w:sz w:val="18"/>
                      <w:szCs w:val="18"/>
                    </w:rPr>
                    <w:t>4</w:t>
                  </w:r>
                </w:p>
              </w:tc>
              <w:tc>
                <w:tcPr>
                  <w:tcW w:w="558" w:type="pct"/>
                  <w:tcBorders>
                    <w:top w:val="single" w:color="000000" w:sz="4" w:space="0"/>
                    <w:left w:val="single" w:color="000000" w:sz="4" w:space="0"/>
                    <w:bottom w:val="single" w:color="000000" w:sz="4" w:space="0"/>
                    <w:right w:val="single" w:color="000000" w:sz="4" w:space="0"/>
                  </w:tcBorders>
                  <w:vAlign w:val="center"/>
                </w:tcPr>
                <w:p w14:paraId="22979563">
                  <w:pPr>
                    <w:pStyle w:val="33"/>
                    <w:spacing w:beforeLines="0" w:afterLines="0" w:line="240" w:lineRule="auto"/>
                    <w:ind w:left="360" w:hanging="360"/>
                    <w:rPr>
                      <w:rFonts w:ascii="Times New Roman"/>
                      <w:color w:val="auto"/>
                      <w:sz w:val="18"/>
                      <w:szCs w:val="18"/>
                    </w:rPr>
                  </w:pPr>
                  <w:r>
                    <w:rPr>
                      <w:rFonts w:ascii="Times New Roman"/>
                      <w:color w:val="auto"/>
                      <w:sz w:val="18"/>
                      <w:szCs w:val="18"/>
                    </w:rPr>
                    <w:t>未超标</w:t>
                  </w:r>
                </w:p>
              </w:tc>
              <w:tc>
                <w:tcPr>
                  <w:tcW w:w="572" w:type="pct"/>
                  <w:tcBorders>
                    <w:top w:val="single" w:color="000000" w:sz="4" w:space="0"/>
                    <w:left w:val="single" w:color="000000" w:sz="4" w:space="0"/>
                    <w:bottom w:val="single" w:color="000000" w:sz="4" w:space="0"/>
                    <w:right w:val="single" w:color="000000" w:sz="4" w:space="0"/>
                  </w:tcBorders>
                  <w:vAlign w:val="center"/>
                </w:tcPr>
                <w:p w14:paraId="7D765A38">
                  <w:pPr>
                    <w:pStyle w:val="33"/>
                    <w:spacing w:beforeLines="0" w:afterLines="0" w:line="240" w:lineRule="auto"/>
                    <w:ind w:left="360" w:hanging="360"/>
                    <w:rPr>
                      <w:rFonts w:ascii="Times New Roman"/>
                      <w:color w:val="auto"/>
                      <w:sz w:val="18"/>
                      <w:szCs w:val="18"/>
                    </w:rPr>
                  </w:pPr>
                  <w:r>
                    <w:rPr>
                      <w:rFonts w:hint="eastAsia" w:ascii="Times New Roman"/>
                      <w:color w:val="auto"/>
                      <w:sz w:val="18"/>
                      <w:szCs w:val="18"/>
                    </w:rPr>
                    <w:t>32.5</w:t>
                  </w:r>
                </w:p>
              </w:tc>
              <w:tc>
                <w:tcPr>
                  <w:tcW w:w="564" w:type="pct"/>
                  <w:tcBorders>
                    <w:top w:val="single" w:color="000000" w:sz="4" w:space="0"/>
                    <w:left w:val="single" w:color="000000" w:sz="4" w:space="0"/>
                    <w:bottom w:val="single" w:color="000000" w:sz="4" w:space="0"/>
                    <w:right w:val="nil"/>
                  </w:tcBorders>
                  <w:vAlign w:val="center"/>
                </w:tcPr>
                <w:p w14:paraId="5C2CA1A4">
                  <w:pPr>
                    <w:pStyle w:val="33"/>
                    <w:spacing w:beforeLines="0" w:afterLines="0" w:line="240" w:lineRule="auto"/>
                    <w:ind w:left="360" w:hanging="360"/>
                    <w:rPr>
                      <w:rFonts w:ascii="Times New Roman"/>
                      <w:color w:val="auto"/>
                      <w:sz w:val="18"/>
                      <w:szCs w:val="18"/>
                    </w:rPr>
                  </w:pPr>
                  <w:r>
                    <w:rPr>
                      <w:rFonts w:ascii="Times New Roman"/>
                      <w:color w:val="auto"/>
                      <w:sz w:val="18"/>
                      <w:szCs w:val="18"/>
                    </w:rPr>
                    <w:t>达标</w:t>
                  </w:r>
                </w:p>
              </w:tc>
            </w:tr>
            <w:tr w14:paraId="1A17BFCF">
              <w:tblPrEx>
                <w:tblCellMar>
                  <w:top w:w="0" w:type="dxa"/>
                  <w:left w:w="0" w:type="dxa"/>
                  <w:bottom w:w="0" w:type="dxa"/>
                  <w:right w:w="0" w:type="dxa"/>
                </w:tblCellMar>
              </w:tblPrEx>
              <w:trPr>
                <w:trHeight w:val="23" w:hRule="atLeast"/>
                <w:jc w:val="center"/>
              </w:trPr>
              <w:tc>
                <w:tcPr>
                  <w:tcW w:w="627" w:type="pct"/>
                  <w:tcBorders>
                    <w:top w:val="single" w:color="000000" w:sz="4" w:space="0"/>
                    <w:left w:val="nil"/>
                    <w:bottom w:val="single" w:color="000000" w:sz="12" w:space="0"/>
                    <w:right w:val="single" w:color="000000" w:sz="4" w:space="0"/>
                  </w:tcBorders>
                  <w:vAlign w:val="center"/>
                </w:tcPr>
                <w:p w14:paraId="069B942E">
                  <w:pPr>
                    <w:pStyle w:val="33"/>
                    <w:spacing w:beforeLines="0" w:afterLines="0" w:line="240" w:lineRule="auto"/>
                    <w:ind w:left="360" w:hanging="360"/>
                    <w:rPr>
                      <w:rFonts w:ascii="Times New Roman"/>
                      <w:color w:val="auto"/>
                      <w:sz w:val="18"/>
                      <w:szCs w:val="18"/>
                    </w:rPr>
                  </w:pPr>
                  <w:r>
                    <w:rPr>
                      <w:rFonts w:ascii="Times New Roman"/>
                      <w:color w:val="auto"/>
                      <w:sz w:val="18"/>
                      <w:szCs w:val="18"/>
                    </w:rPr>
                    <w:t>臭氧</w:t>
                  </w:r>
                </w:p>
              </w:tc>
              <w:tc>
                <w:tcPr>
                  <w:tcW w:w="443" w:type="pct"/>
                  <w:tcBorders>
                    <w:top w:val="single" w:color="000000" w:sz="4" w:space="0"/>
                    <w:left w:val="single" w:color="000000" w:sz="4" w:space="0"/>
                    <w:bottom w:val="single" w:color="000000" w:sz="12" w:space="0"/>
                    <w:right w:val="single" w:color="000000" w:sz="4" w:space="0"/>
                  </w:tcBorders>
                  <w:vAlign w:val="center"/>
                </w:tcPr>
                <w:p w14:paraId="0C5C4906">
                  <w:pPr>
                    <w:pStyle w:val="33"/>
                    <w:spacing w:beforeLines="0" w:afterLines="0" w:line="240" w:lineRule="auto"/>
                    <w:ind w:left="360" w:hanging="360"/>
                    <w:rPr>
                      <w:rFonts w:ascii="Times New Roman"/>
                      <w:color w:val="auto"/>
                      <w:sz w:val="18"/>
                      <w:szCs w:val="18"/>
                    </w:rPr>
                  </w:pPr>
                  <w:r>
                    <w:rPr>
                      <w:rFonts w:ascii="Times New Roman"/>
                      <w:color w:val="auto"/>
                      <w:sz w:val="18"/>
                      <w:szCs w:val="18"/>
                    </w:rPr>
                    <w:t>ug/m</w:t>
                  </w:r>
                  <w:r>
                    <w:rPr>
                      <w:rFonts w:ascii="Times New Roman"/>
                      <w:color w:val="auto"/>
                      <w:sz w:val="18"/>
                      <w:szCs w:val="18"/>
                      <w:vertAlign w:val="superscript"/>
                    </w:rPr>
                    <w:t>3</w:t>
                  </w:r>
                </w:p>
              </w:tc>
              <w:tc>
                <w:tcPr>
                  <w:tcW w:w="1247" w:type="pct"/>
                  <w:tcBorders>
                    <w:top w:val="single" w:color="000000" w:sz="4" w:space="0"/>
                    <w:left w:val="single" w:color="000000" w:sz="4" w:space="0"/>
                    <w:bottom w:val="single" w:color="000000" w:sz="12" w:space="0"/>
                    <w:right w:val="single" w:color="000000" w:sz="4" w:space="0"/>
                  </w:tcBorders>
                  <w:vAlign w:val="center"/>
                </w:tcPr>
                <w:p w14:paraId="6F9CF88E">
                  <w:pPr>
                    <w:pStyle w:val="33"/>
                    <w:spacing w:beforeLines="0" w:afterLines="0" w:line="240" w:lineRule="auto"/>
                    <w:ind w:left="360" w:hanging="360"/>
                    <w:rPr>
                      <w:rFonts w:ascii="Times New Roman"/>
                      <w:color w:val="auto"/>
                      <w:sz w:val="18"/>
                      <w:szCs w:val="18"/>
                    </w:rPr>
                  </w:pPr>
                  <w:r>
                    <w:rPr>
                      <w:rFonts w:ascii="Times New Roman"/>
                      <w:color w:val="auto"/>
                      <w:sz w:val="18"/>
                      <w:szCs w:val="18"/>
                    </w:rPr>
                    <w:t>年日最大8h平均</w:t>
                  </w:r>
                </w:p>
                <w:p w14:paraId="4338D969">
                  <w:pPr>
                    <w:pStyle w:val="33"/>
                    <w:spacing w:beforeLines="0" w:afterLines="0" w:line="240" w:lineRule="auto"/>
                    <w:ind w:left="360" w:hanging="360"/>
                    <w:rPr>
                      <w:rFonts w:ascii="Times New Roman"/>
                      <w:color w:val="auto"/>
                      <w:sz w:val="18"/>
                      <w:szCs w:val="18"/>
                    </w:rPr>
                  </w:pPr>
                  <w:r>
                    <w:rPr>
                      <w:rFonts w:ascii="Times New Roman"/>
                      <w:color w:val="auto"/>
                      <w:sz w:val="18"/>
                      <w:szCs w:val="18"/>
                    </w:rPr>
                    <w:t>第90百分位数</w:t>
                  </w:r>
                </w:p>
              </w:tc>
              <w:tc>
                <w:tcPr>
                  <w:tcW w:w="454" w:type="pct"/>
                  <w:tcBorders>
                    <w:top w:val="single" w:color="000000" w:sz="4" w:space="0"/>
                    <w:left w:val="single" w:color="000000" w:sz="4" w:space="0"/>
                    <w:bottom w:val="single" w:color="000000" w:sz="12" w:space="0"/>
                    <w:right w:val="single" w:color="000000" w:sz="4" w:space="0"/>
                  </w:tcBorders>
                  <w:vAlign w:val="center"/>
                </w:tcPr>
                <w:p w14:paraId="4C2DCEBD">
                  <w:pPr>
                    <w:pStyle w:val="33"/>
                    <w:spacing w:beforeLines="0" w:afterLines="0" w:line="240" w:lineRule="auto"/>
                    <w:ind w:left="360" w:hanging="360"/>
                    <w:rPr>
                      <w:rFonts w:ascii="Times New Roman"/>
                      <w:color w:val="auto"/>
                      <w:sz w:val="18"/>
                      <w:szCs w:val="18"/>
                    </w:rPr>
                  </w:pPr>
                  <w:r>
                    <w:rPr>
                      <w:rFonts w:hint="eastAsia" w:ascii="Times New Roman"/>
                      <w:color w:val="auto"/>
                      <w:sz w:val="18"/>
                      <w:szCs w:val="18"/>
                    </w:rPr>
                    <w:t>130</w:t>
                  </w:r>
                </w:p>
              </w:tc>
              <w:tc>
                <w:tcPr>
                  <w:tcW w:w="534" w:type="pct"/>
                  <w:tcBorders>
                    <w:top w:val="single" w:color="000000" w:sz="4" w:space="0"/>
                    <w:left w:val="single" w:color="000000" w:sz="4" w:space="0"/>
                    <w:bottom w:val="single" w:color="000000" w:sz="12" w:space="0"/>
                    <w:right w:val="single" w:color="000000" w:sz="4" w:space="0"/>
                  </w:tcBorders>
                  <w:vAlign w:val="center"/>
                </w:tcPr>
                <w:p w14:paraId="5EBB5441">
                  <w:pPr>
                    <w:pStyle w:val="33"/>
                    <w:spacing w:beforeLines="0" w:afterLines="0" w:line="240" w:lineRule="auto"/>
                    <w:ind w:left="360" w:hanging="360"/>
                    <w:rPr>
                      <w:rFonts w:ascii="Times New Roman"/>
                      <w:color w:val="auto"/>
                      <w:sz w:val="18"/>
                      <w:szCs w:val="18"/>
                    </w:rPr>
                  </w:pPr>
                  <w:r>
                    <w:rPr>
                      <w:rFonts w:ascii="Times New Roman"/>
                      <w:color w:val="auto"/>
                      <w:sz w:val="18"/>
                      <w:szCs w:val="18"/>
                    </w:rPr>
                    <w:t>160</w:t>
                  </w:r>
                </w:p>
              </w:tc>
              <w:tc>
                <w:tcPr>
                  <w:tcW w:w="558" w:type="pct"/>
                  <w:tcBorders>
                    <w:top w:val="single" w:color="000000" w:sz="4" w:space="0"/>
                    <w:left w:val="single" w:color="000000" w:sz="4" w:space="0"/>
                    <w:bottom w:val="single" w:color="000000" w:sz="12" w:space="0"/>
                    <w:right w:val="single" w:color="000000" w:sz="4" w:space="0"/>
                  </w:tcBorders>
                  <w:vAlign w:val="center"/>
                </w:tcPr>
                <w:p w14:paraId="3846740F">
                  <w:pPr>
                    <w:pStyle w:val="33"/>
                    <w:spacing w:beforeLines="0" w:afterLines="0" w:line="240" w:lineRule="auto"/>
                    <w:ind w:left="360" w:hanging="360"/>
                    <w:rPr>
                      <w:rFonts w:ascii="Times New Roman"/>
                      <w:color w:val="auto"/>
                      <w:sz w:val="18"/>
                      <w:szCs w:val="18"/>
                    </w:rPr>
                  </w:pPr>
                  <w:r>
                    <w:rPr>
                      <w:rFonts w:ascii="Times New Roman"/>
                      <w:color w:val="auto"/>
                      <w:sz w:val="18"/>
                      <w:szCs w:val="18"/>
                    </w:rPr>
                    <w:t>未超标</w:t>
                  </w:r>
                </w:p>
              </w:tc>
              <w:tc>
                <w:tcPr>
                  <w:tcW w:w="572" w:type="pct"/>
                  <w:tcBorders>
                    <w:top w:val="single" w:color="000000" w:sz="4" w:space="0"/>
                    <w:left w:val="single" w:color="000000" w:sz="4" w:space="0"/>
                    <w:bottom w:val="single" w:color="000000" w:sz="12" w:space="0"/>
                    <w:right w:val="single" w:color="000000" w:sz="4" w:space="0"/>
                  </w:tcBorders>
                  <w:vAlign w:val="center"/>
                </w:tcPr>
                <w:p w14:paraId="004E9865">
                  <w:pPr>
                    <w:pStyle w:val="33"/>
                    <w:spacing w:beforeLines="0" w:afterLines="0" w:line="240" w:lineRule="auto"/>
                    <w:ind w:left="360" w:hanging="360"/>
                    <w:rPr>
                      <w:rFonts w:ascii="Times New Roman"/>
                      <w:color w:val="auto"/>
                      <w:sz w:val="18"/>
                      <w:szCs w:val="18"/>
                    </w:rPr>
                  </w:pPr>
                  <w:r>
                    <w:rPr>
                      <w:rFonts w:hint="eastAsia" w:ascii="Times New Roman"/>
                      <w:color w:val="auto"/>
                      <w:sz w:val="18"/>
                      <w:szCs w:val="18"/>
                    </w:rPr>
                    <w:t>81.25</w:t>
                  </w:r>
                </w:p>
              </w:tc>
              <w:tc>
                <w:tcPr>
                  <w:tcW w:w="564" w:type="pct"/>
                  <w:tcBorders>
                    <w:top w:val="single" w:color="000000" w:sz="4" w:space="0"/>
                    <w:left w:val="single" w:color="000000" w:sz="4" w:space="0"/>
                    <w:bottom w:val="single" w:color="000000" w:sz="12" w:space="0"/>
                    <w:right w:val="nil"/>
                  </w:tcBorders>
                  <w:vAlign w:val="center"/>
                </w:tcPr>
                <w:p w14:paraId="1B00860F">
                  <w:pPr>
                    <w:pStyle w:val="33"/>
                    <w:spacing w:beforeLines="0" w:afterLines="0" w:line="240" w:lineRule="auto"/>
                    <w:ind w:left="360" w:hanging="360"/>
                    <w:rPr>
                      <w:rFonts w:ascii="Times New Roman"/>
                      <w:color w:val="auto"/>
                      <w:sz w:val="18"/>
                      <w:szCs w:val="18"/>
                    </w:rPr>
                  </w:pPr>
                  <w:r>
                    <w:rPr>
                      <w:rFonts w:ascii="Times New Roman"/>
                      <w:color w:val="auto"/>
                      <w:sz w:val="18"/>
                      <w:szCs w:val="18"/>
                    </w:rPr>
                    <w:t>达标</w:t>
                  </w:r>
                </w:p>
              </w:tc>
            </w:tr>
          </w:tbl>
          <w:p w14:paraId="406CE475">
            <w:pPr>
              <w:pStyle w:val="80"/>
              <w:spacing w:line="240" w:lineRule="auto"/>
              <w:ind w:firstLine="420"/>
              <w:rPr>
                <w:rFonts w:cs="Times New Roman"/>
                <w:color w:val="auto"/>
              </w:rPr>
            </w:pPr>
          </w:p>
          <w:p w14:paraId="194FC541">
            <w:pPr>
              <w:pStyle w:val="80"/>
              <w:ind w:firstLine="420"/>
              <w:rPr>
                <w:color w:val="auto"/>
              </w:rPr>
            </w:pPr>
            <w:r>
              <w:rPr>
                <w:rFonts w:cs="Times New Roman"/>
                <w:color w:val="auto"/>
              </w:rPr>
              <w:t>根据上表可知，202</w:t>
            </w:r>
            <w:r>
              <w:rPr>
                <w:rFonts w:hint="eastAsia" w:cs="Times New Roman"/>
                <w:color w:val="auto"/>
              </w:rPr>
              <w:t>3</w:t>
            </w:r>
            <w:r>
              <w:rPr>
                <w:rFonts w:cs="Times New Roman"/>
                <w:color w:val="auto"/>
              </w:rPr>
              <w:t>年</w:t>
            </w:r>
            <w:r>
              <w:rPr>
                <w:rFonts w:hint="eastAsia" w:cs="Times New Roman"/>
                <w:color w:val="auto"/>
              </w:rPr>
              <w:t>白山</w:t>
            </w:r>
            <w:r>
              <w:rPr>
                <w:rFonts w:cs="Times New Roman"/>
                <w:color w:val="auto"/>
              </w:rPr>
              <w:t>市环境空气中PM</w:t>
            </w:r>
            <w:r>
              <w:rPr>
                <w:rFonts w:cs="Times New Roman"/>
                <w:color w:val="auto"/>
                <w:vertAlign w:val="subscript"/>
              </w:rPr>
              <w:t>10</w:t>
            </w:r>
            <w:r>
              <w:rPr>
                <w:rFonts w:cs="Times New Roman"/>
                <w:color w:val="auto"/>
              </w:rPr>
              <w:t>、SO</w:t>
            </w:r>
            <w:r>
              <w:rPr>
                <w:rFonts w:cs="Times New Roman"/>
                <w:color w:val="auto"/>
                <w:vertAlign w:val="subscript"/>
              </w:rPr>
              <w:t>2</w:t>
            </w:r>
            <w:r>
              <w:rPr>
                <w:rFonts w:cs="Times New Roman"/>
                <w:color w:val="auto"/>
              </w:rPr>
              <w:t>、NO</w:t>
            </w:r>
            <w:r>
              <w:rPr>
                <w:rFonts w:cs="Times New Roman"/>
                <w:color w:val="auto"/>
                <w:vertAlign w:val="subscript"/>
              </w:rPr>
              <w:t>2</w:t>
            </w:r>
            <w:r>
              <w:rPr>
                <w:rFonts w:cs="Times New Roman"/>
                <w:color w:val="auto"/>
              </w:rPr>
              <w:t>、CO、臭氧、PM</w:t>
            </w:r>
            <w:r>
              <w:rPr>
                <w:rFonts w:cs="Times New Roman"/>
                <w:color w:val="auto"/>
                <w:vertAlign w:val="subscript"/>
              </w:rPr>
              <w:t>2.5</w:t>
            </w:r>
            <w:r>
              <w:rPr>
                <w:rFonts w:cs="Times New Roman"/>
                <w:color w:val="auto"/>
              </w:rPr>
              <w:t>符合《环境空气质量标准》（GB3095-2012）标准要求，</w:t>
            </w:r>
            <w:r>
              <w:rPr>
                <w:rFonts w:hint="eastAsia" w:cs="Times New Roman"/>
                <w:color w:val="auto"/>
              </w:rPr>
              <w:t>白山市</w:t>
            </w:r>
            <w:r>
              <w:rPr>
                <w:rFonts w:cs="Times New Roman"/>
                <w:color w:val="auto"/>
              </w:rPr>
              <w:t>属于环境空气质量达标区。</w:t>
            </w:r>
          </w:p>
          <w:p w14:paraId="0AD12502">
            <w:pPr>
              <w:shd w:val="clear" w:color="auto" w:fill="FFFFFF"/>
              <w:adjustRightInd w:val="0"/>
              <w:snapToGrid w:val="0"/>
              <w:spacing w:line="336" w:lineRule="auto"/>
              <w:rPr>
                <w:rFonts w:cs="宋体"/>
                <w:color w:val="auto"/>
              </w:rPr>
            </w:pPr>
            <w:r>
              <w:rPr>
                <w:rFonts w:hint="eastAsia" w:cs="宋体"/>
                <w:color w:val="auto"/>
              </w:rPr>
              <w:t>2.2空气环境质量现状评价</w:t>
            </w:r>
          </w:p>
          <w:p w14:paraId="44D21768">
            <w:pPr>
              <w:shd w:val="clear" w:color="auto" w:fill="FFFFFF"/>
              <w:adjustRightInd w:val="0"/>
              <w:snapToGrid w:val="0"/>
              <w:spacing w:line="336" w:lineRule="auto"/>
              <w:ind w:firstLine="420" w:firstLineChars="200"/>
              <w:rPr>
                <w:color w:val="auto"/>
              </w:rPr>
            </w:pPr>
            <w:r>
              <w:rPr>
                <w:rFonts w:hint="eastAsia" w:cs="宋体"/>
                <w:color w:val="auto"/>
              </w:rPr>
              <w:t>（</w:t>
            </w:r>
            <w:r>
              <w:rPr>
                <w:color w:val="auto"/>
              </w:rPr>
              <w:t>1</w:t>
            </w:r>
            <w:r>
              <w:rPr>
                <w:rFonts w:hint="eastAsia" w:cs="宋体"/>
                <w:color w:val="auto"/>
              </w:rPr>
              <w:t>）空气环境质量现状调查</w:t>
            </w:r>
          </w:p>
          <w:p w14:paraId="6D61B0A2">
            <w:pPr>
              <w:shd w:val="clear" w:color="auto" w:fill="FFFFFF"/>
              <w:adjustRightInd w:val="0"/>
              <w:snapToGrid w:val="0"/>
              <w:spacing w:line="336" w:lineRule="auto"/>
              <w:ind w:firstLine="420" w:firstLineChars="200"/>
              <w:rPr>
                <w:rFonts w:cs="宋体"/>
                <w:color w:val="auto"/>
              </w:rPr>
            </w:pPr>
            <w:r>
              <w:rPr>
                <w:rFonts w:hint="eastAsia" w:cs="宋体"/>
                <w:color w:val="auto"/>
              </w:rPr>
              <w:t>本次环境空气环境现状监测共布设</w:t>
            </w:r>
            <w:r>
              <w:rPr>
                <w:rFonts w:hint="eastAsia"/>
                <w:color w:val="auto"/>
              </w:rPr>
              <w:t>1</w:t>
            </w:r>
            <w:r>
              <w:rPr>
                <w:rFonts w:hint="eastAsia" w:cs="宋体"/>
                <w:color w:val="auto"/>
              </w:rPr>
              <w:t>个监测点位，</w:t>
            </w:r>
            <w:r>
              <w:rPr>
                <w:rFonts w:hint="eastAsia" w:cs="宋体"/>
                <w:snapToGrid w:val="0"/>
                <w:color w:val="auto"/>
              </w:rPr>
              <w:t>监测点布设情况详见下表。</w:t>
            </w:r>
          </w:p>
          <w:p w14:paraId="02622F8A">
            <w:pPr>
              <w:pStyle w:val="78"/>
              <w:widowControl w:val="0"/>
              <w:spacing w:line="240" w:lineRule="auto"/>
              <w:rPr>
                <w:b w:val="0"/>
                <w:bCs/>
                <w:color w:val="auto"/>
                <w:sz w:val="21"/>
              </w:rPr>
            </w:pPr>
            <w:r>
              <w:rPr>
                <w:rFonts w:hint="eastAsia"/>
                <w:b w:val="0"/>
                <w:bCs/>
                <w:color w:val="auto"/>
                <w:sz w:val="21"/>
              </w:rPr>
              <w:t>补充监测点位基本信息一览表</w:t>
            </w:r>
          </w:p>
          <w:tbl>
            <w:tblPr>
              <w:tblStyle w:val="2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2"/>
              <w:gridCol w:w="1341"/>
              <w:gridCol w:w="1254"/>
              <w:gridCol w:w="1214"/>
              <w:gridCol w:w="951"/>
              <w:gridCol w:w="989"/>
              <w:gridCol w:w="1303"/>
            </w:tblGrid>
            <w:tr w14:paraId="4E5859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578" w:type="pct"/>
                  <w:vMerge w:val="restart"/>
                  <w:vAlign w:val="center"/>
                </w:tcPr>
                <w:p w14:paraId="1690C2E3">
                  <w:pPr>
                    <w:jc w:val="center"/>
                    <w:rPr>
                      <w:color w:val="auto"/>
                      <w:sz w:val="18"/>
                      <w:szCs w:val="18"/>
                    </w:rPr>
                  </w:pPr>
                  <w:r>
                    <w:rPr>
                      <w:color w:val="auto"/>
                      <w:sz w:val="18"/>
                      <w:szCs w:val="18"/>
                    </w:rPr>
                    <w:t>监测点</w:t>
                  </w:r>
                </w:p>
                <w:p w14:paraId="63837C48">
                  <w:pPr>
                    <w:jc w:val="center"/>
                    <w:rPr>
                      <w:color w:val="auto"/>
                      <w:sz w:val="18"/>
                      <w:szCs w:val="18"/>
                    </w:rPr>
                  </w:pPr>
                  <w:r>
                    <w:rPr>
                      <w:color w:val="auto"/>
                      <w:sz w:val="18"/>
                      <w:szCs w:val="18"/>
                    </w:rPr>
                    <w:t>名称</w:t>
                  </w:r>
                </w:p>
              </w:tc>
              <w:tc>
                <w:tcPr>
                  <w:tcW w:w="1627" w:type="pct"/>
                  <w:gridSpan w:val="2"/>
                  <w:vAlign w:val="center"/>
                </w:tcPr>
                <w:p w14:paraId="3A0FEE91">
                  <w:pPr>
                    <w:jc w:val="center"/>
                    <w:rPr>
                      <w:color w:val="auto"/>
                      <w:sz w:val="18"/>
                      <w:szCs w:val="18"/>
                    </w:rPr>
                  </w:pPr>
                  <w:r>
                    <w:rPr>
                      <w:rFonts w:hint="eastAsia"/>
                      <w:color w:val="auto"/>
                      <w:sz w:val="18"/>
                      <w:szCs w:val="18"/>
                    </w:rPr>
                    <w:t>监测点坐标/m</w:t>
                  </w:r>
                </w:p>
              </w:tc>
              <w:tc>
                <w:tcPr>
                  <w:tcW w:w="761" w:type="pct"/>
                  <w:vMerge w:val="restart"/>
                  <w:vAlign w:val="center"/>
                </w:tcPr>
                <w:p w14:paraId="1C9FF234">
                  <w:pPr>
                    <w:rPr>
                      <w:color w:val="auto"/>
                      <w:sz w:val="18"/>
                      <w:szCs w:val="18"/>
                    </w:rPr>
                  </w:pPr>
                  <w:r>
                    <w:rPr>
                      <w:color w:val="auto"/>
                      <w:sz w:val="18"/>
                      <w:szCs w:val="18"/>
                    </w:rPr>
                    <w:t>监测因子</w:t>
                  </w:r>
                </w:p>
              </w:tc>
              <w:tc>
                <w:tcPr>
                  <w:tcW w:w="596" w:type="pct"/>
                  <w:vMerge w:val="restart"/>
                  <w:vAlign w:val="center"/>
                </w:tcPr>
                <w:p w14:paraId="5E7BB09B">
                  <w:pPr>
                    <w:jc w:val="center"/>
                    <w:rPr>
                      <w:color w:val="auto"/>
                      <w:sz w:val="18"/>
                      <w:szCs w:val="18"/>
                    </w:rPr>
                  </w:pPr>
                  <w:r>
                    <w:rPr>
                      <w:color w:val="auto"/>
                      <w:sz w:val="18"/>
                      <w:szCs w:val="18"/>
                    </w:rPr>
                    <w:t>监测时段</w:t>
                  </w:r>
                </w:p>
              </w:tc>
              <w:tc>
                <w:tcPr>
                  <w:tcW w:w="620" w:type="pct"/>
                  <w:vMerge w:val="restart"/>
                  <w:vAlign w:val="center"/>
                </w:tcPr>
                <w:p w14:paraId="229EA500">
                  <w:pPr>
                    <w:jc w:val="center"/>
                    <w:rPr>
                      <w:color w:val="auto"/>
                      <w:sz w:val="18"/>
                      <w:szCs w:val="18"/>
                    </w:rPr>
                  </w:pPr>
                  <w:r>
                    <w:rPr>
                      <w:color w:val="auto"/>
                      <w:sz w:val="18"/>
                      <w:szCs w:val="18"/>
                    </w:rPr>
                    <w:t>相对厂址方位</w:t>
                  </w:r>
                </w:p>
              </w:tc>
              <w:tc>
                <w:tcPr>
                  <w:tcW w:w="817" w:type="pct"/>
                  <w:vMerge w:val="restart"/>
                  <w:vAlign w:val="center"/>
                </w:tcPr>
                <w:p w14:paraId="09D2D179">
                  <w:pPr>
                    <w:jc w:val="center"/>
                    <w:rPr>
                      <w:color w:val="auto"/>
                      <w:sz w:val="18"/>
                      <w:szCs w:val="18"/>
                    </w:rPr>
                  </w:pPr>
                  <w:r>
                    <w:rPr>
                      <w:color w:val="auto"/>
                      <w:sz w:val="18"/>
                      <w:szCs w:val="18"/>
                    </w:rPr>
                    <w:t>相对厂界距离</w:t>
                  </w:r>
                </w:p>
                <w:p w14:paraId="427B3AD1">
                  <w:pPr>
                    <w:jc w:val="center"/>
                    <w:rPr>
                      <w:color w:val="auto"/>
                      <w:sz w:val="18"/>
                      <w:szCs w:val="18"/>
                    </w:rPr>
                  </w:pPr>
                  <w:r>
                    <w:rPr>
                      <w:rFonts w:hint="eastAsia"/>
                      <w:color w:val="auto"/>
                      <w:sz w:val="18"/>
                      <w:szCs w:val="18"/>
                    </w:rPr>
                    <w:t>/m</w:t>
                  </w:r>
                </w:p>
              </w:tc>
            </w:tr>
            <w:tr w14:paraId="1D0153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8" w:hRule="atLeast"/>
              </w:trPr>
              <w:tc>
                <w:tcPr>
                  <w:tcW w:w="578" w:type="pct"/>
                  <w:vMerge w:val="continue"/>
                  <w:vAlign w:val="center"/>
                </w:tcPr>
                <w:p w14:paraId="38C47E86">
                  <w:pPr>
                    <w:jc w:val="center"/>
                    <w:rPr>
                      <w:color w:val="auto"/>
                      <w:sz w:val="18"/>
                      <w:szCs w:val="18"/>
                    </w:rPr>
                  </w:pPr>
                </w:p>
              </w:tc>
              <w:tc>
                <w:tcPr>
                  <w:tcW w:w="841" w:type="pct"/>
                  <w:vAlign w:val="center"/>
                </w:tcPr>
                <w:p w14:paraId="182EFCB1">
                  <w:pPr>
                    <w:jc w:val="center"/>
                    <w:rPr>
                      <w:color w:val="auto"/>
                      <w:sz w:val="18"/>
                      <w:szCs w:val="18"/>
                    </w:rPr>
                  </w:pPr>
                  <w:r>
                    <w:rPr>
                      <w:rFonts w:hint="eastAsia"/>
                      <w:color w:val="auto"/>
                      <w:sz w:val="18"/>
                      <w:szCs w:val="18"/>
                    </w:rPr>
                    <w:t>X</w:t>
                  </w:r>
                </w:p>
              </w:tc>
              <w:tc>
                <w:tcPr>
                  <w:tcW w:w="785" w:type="pct"/>
                  <w:vAlign w:val="center"/>
                </w:tcPr>
                <w:p w14:paraId="32EC88E3">
                  <w:pPr>
                    <w:jc w:val="center"/>
                    <w:rPr>
                      <w:color w:val="auto"/>
                      <w:sz w:val="18"/>
                      <w:szCs w:val="18"/>
                    </w:rPr>
                  </w:pPr>
                  <w:r>
                    <w:rPr>
                      <w:rFonts w:hint="eastAsia"/>
                      <w:color w:val="auto"/>
                      <w:sz w:val="18"/>
                      <w:szCs w:val="18"/>
                    </w:rPr>
                    <w:t>Y</w:t>
                  </w:r>
                </w:p>
              </w:tc>
              <w:tc>
                <w:tcPr>
                  <w:tcW w:w="761" w:type="pct"/>
                  <w:vMerge w:val="continue"/>
                  <w:vAlign w:val="center"/>
                </w:tcPr>
                <w:p w14:paraId="1319038F">
                  <w:pPr>
                    <w:rPr>
                      <w:color w:val="auto"/>
                      <w:sz w:val="18"/>
                      <w:szCs w:val="18"/>
                    </w:rPr>
                  </w:pPr>
                </w:p>
              </w:tc>
              <w:tc>
                <w:tcPr>
                  <w:tcW w:w="596" w:type="pct"/>
                  <w:vMerge w:val="continue"/>
                  <w:vAlign w:val="center"/>
                </w:tcPr>
                <w:p w14:paraId="6C663AEF">
                  <w:pPr>
                    <w:rPr>
                      <w:color w:val="auto"/>
                      <w:sz w:val="18"/>
                      <w:szCs w:val="18"/>
                    </w:rPr>
                  </w:pPr>
                </w:p>
              </w:tc>
              <w:tc>
                <w:tcPr>
                  <w:tcW w:w="620" w:type="pct"/>
                  <w:vMerge w:val="continue"/>
                  <w:vAlign w:val="center"/>
                </w:tcPr>
                <w:p w14:paraId="53462198">
                  <w:pPr>
                    <w:jc w:val="center"/>
                    <w:rPr>
                      <w:color w:val="auto"/>
                      <w:sz w:val="18"/>
                      <w:szCs w:val="18"/>
                    </w:rPr>
                  </w:pPr>
                </w:p>
              </w:tc>
              <w:tc>
                <w:tcPr>
                  <w:tcW w:w="817" w:type="pct"/>
                  <w:vMerge w:val="continue"/>
                  <w:vAlign w:val="center"/>
                </w:tcPr>
                <w:p w14:paraId="40D7A4AE">
                  <w:pPr>
                    <w:jc w:val="center"/>
                    <w:rPr>
                      <w:color w:val="auto"/>
                      <w:sz w:val="18"/>
                      <w:szCs w:val="18"/>
                    </w:rPr>
                  </w:pPr>
                </w:p>
              </w:tc>
            </w:tr>
            <w:tr w14:paraId="2EECA7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84" w:hRule="atLeast"/>
              </w:trPr>
              <w:tc>
                <w:tcPr>
                  <w:tcW w:w="578" w:type="pct"/>
                  <w:vAlign w:val="center"/>
                </w:tcPr>
                <w:p w14:paraId="7A81EEF8">
                  <w:pPr>
                    <w:jc w:val="center"/>
                    <w:rPr>
                      <w:color w:val="auto"/>
                      <w:sz w:val="18"/>
                      <w:szCs w:val="18"/>
                    </w:rPr>
                  </w:pPr>
                  <w:r>
                    <w:rPr>
                      <w:rFonts w:hint="eastAsia"/>
                      <w:color w:val="auto"/>
                      <w:sz w:val="18"/>
                      <w:szCs w:val="18"/>
                    </w:rPr>
                    <w:t>铁桥屯1</w:t>
                  </w:r>
                  <w:r>
                    <w:rPr>
                      <w:color w:val="auto"/>
                      <w:sz w:val="18"/>
                      <w:szCs w:val="18"/>
                    </w:rPr>
                    <w:t>#</w:t>
                  </w:r>
                </w:p>
              </w:tc>
              <w:tc>
                <w:tcPr>
                  <w:tcW w:w="841" w:type="pct"/>
                  <w:vAlign w:val="center"/>
                </w:tcPr>
                <w:p w14:paraId="5C663868">
                  <w:pPr>
                    <w:jc w:val="center"/>
                    <w:rPr>
                      <w:color w:val="auto"/>
                      <w:sz w:val="18"/>
                      <w:szCs w:val="18"/>
                    </w:rPr>
                  </w:pPr>
                  <w:r>
                    <w:rPr>
                      <w:color w:val="auto"/>
                      <w:sz w:val="18"/>
                      <w:szCs w:val="18"/>
                    </w:rPr>
                    <w:t>126.597635215</w:t>
                  </w:r>
                </w:p>
              </w:tc>
              <w:tc>
                <w:tcPr>
                  <w:tcW w:w="785" w:type="pct"/>
                  <w:vAlign w:val="center"/>
                </w:tcPr>
                <w:p w14:paraId="50A68B6D">
                  <w:pPr>
                    <w:jc w:val="center"/>
                    <w:rPr>
                      <w:color w:val="auto"/>
                      <w:sz w:val="18"/>
                      <w:szCs w:val="18"/>
                    </w:rPr>
                  </w:pPr>
                  <w:r>
                    <w:rPr>
                      <w:color w:val="auto"/>
                      <w:sz w:val="18"/>
                      <w:szCs w:val="18"/>
                    </w:rPr>
                    <w:t>41.961030822</w:t>
                  </w:r>
                </w:p>
              </w:tc>
              <w:tc>
                <w:tcPr>
                  <w:tcW w:w="761" w:type="pct"/>
                  <w:vAlign w:val="center"/>
                </w:tcPr>
                <w:p w14:paraId="2B79CDF0">
                  <w:pPr>
                    <w:jc w:val="center"/>
                    <w:rPr>
                      <w:color w:val="auto"/>
                      <w:sz w:val="18"/>
                      <w:szCs w:val="18"/>
                    </w:rPr>
                  </w:pPr>
                  <w:r>
                    <w:rPr>
                      <w:rFonts w:hint="eastAsia"/>
                      <w:color w:val="auto"/>
                      <w:sz w:val="18"/>
                      <w:szCs w:val="18"/>
                    </w:rPr>
                    <w:t>T</w:t>
                  </w:r>
                  <w:r>
                    <w:rPr>
                      <w:color w:val="auto"/>
                      <w:sz w:val="18"/>
                      <w:szCs w:val="18"/>
                    </w:rPr>
                    <w:t>SP</w:t>
                  </w:r>
                </w:p>
              </w:tc>
              <w:tc>
                <w:tcPr>
                  <w:tcW w:w="596" w:type="pct"/>
                  <w:vAlign w:val="center"/>
                </w:tcPr>
                <w:p w14:paraId="0DFEC764">
                  <w:pPr>
                    <w:jc w:val="center"/>
                    <w:rPr>
                      <w:color w:val="auto"/>
                      <w:sz w:val="18"/>
                      <w:szCs w:val="18"/>
                    </w:rPr>
                  </w:pPr>
                  <w:r>
                    <w:rPr>
                      <w:rFonts w:hint="eastAsia"/>
                      <w:color w:val="auto"/>
                      <w:sz w:val="18"/>
                      <w:szCs w:val="18"/>
                    </w:rPr>
                    <w:t>日均值</w:t>
                  </w:r>
                </w:p>
              </w:tc>
              <w:tc>
                <w:tcPr>
                  <w:tcW w:w="620" w:type="pct"/>
                  <w:vAlign w:val="center"/>
                </w:tcPr>
                <w:p w14:paraId="5EA387AF">
                  <w:pPr>
                    <w:jc w:val="center"/>
                    <w:rPr>
                      <w:color w:val="auto"/>
                      <w:sz w:val="18"/>
                      <w:szCs w:val="18"/>
                    </w:rPr>
                  </w:pPr>
                  <w:r>
                    <w:rPr>
                      <w:color w:val="auto"/>
                      <w:sz w:val="18"/>
                      <w:szCs w:val="18"/>
                    </w:rPr>
                    <w:t>东北侧</w:t>
                  </w:r>
                </w:p>
              </w:tc>
              <w:tc>
                <w:tcPr>
                  <w:tcW w:w="817" w:type="pct"/>
                  <w:vAlign w:val="center"/>
                </w:tcPr>
                <w:p w14:paraId="15911DDD">
                  <w:pPr>
                    <w:jc w:val="center"/>
                    <w:rPr>
                      <w:color w:val="auto"/>
                      <w:sz w:val="18"/>
                      <w:szCs w:val="18"/>
                    </w:rPr>
                  </w:pPr>
                  <w:r>
                    <w:rPr>
                      <w:rFonts w:hint="eastAsia"/>
                      <w:color w:val="auto"/>
                      <w:sz w:val="18"/>
                      <w:szCs w:val="18"/>
                    </w:rPr>
                    <w:t>664</w:t>
                  </w:r>
                </w:p>
              </w:tc>
            </w:tr>
          </w:tbl>
          <w:p w14:paraId="5BABE31A">
            <w:pPr>
              <w:shd w:val="clear" w:color="auto" w:fill="FFFFFF"/>
              <w:adjustRightInd w:val="0"/>
              <w:snapToGrid w:val="0"/>
              <w:ind w:firstLine="420" w:firstLineChars="200"/>
              <w:rPr>
                <w:rFonts w:cs="宋体"/>
                <w:color w:val="auto"/>
              </w:rPr>
            </w:pPr>
          </w:p>
          <w:p w14:paraId="607D0CBF">
            <w:pPr>
              <w:widowControl/>
              <w:adjustRightInd w:val="0"/>
              <w:snapToGrid w:val="0"/>
              <w:spacing w:line="336" w:lineRule="auto"/>
              <w:ind w:firstLine="420" w:firstLineChars="200"/>
              <w:rPr>
                <w:rFonts w:hAnsi="宋体"/>
                <w:color w:val="auto"/>
              </w:rPr>
            </w:pPr>
            <w:r>
              <w:rPr>
                <w:rFonts w:hint="eastAsia" w:hAnsi="宋体"/>
                <w:color w:val="auto"/>
              </w:rPr>
              <w:t>（2）</w:t>
            </w:r>
            <w:r>
              <w:rPr>
                <w:rFonts w:hAnsi="宋体"/>
                <w:color w:val="auto"/>
              </w:rPr>
              <w:t>监测项目</w:t>
            </w:r>
          </w:p>
          <w:p w14:paraId="573A287D">
            <w:pPr>
              <w:widowControl/>
              <w:adjustRightInd w:val="0"/>
              <w:snapToGrid w:val="0"/>
              <w:spacing w:line="336" w:lineRule="auto"/>
              <w:ind w:firstLine="420" w:firstLineChars="200"/>
              <w:rPr>
                <w:rFonts w:hAnsi="宋体"/>
                <w:i/>
                <w:iCs/>
                <w:color w:val="auto"/>
                <w:u w:val="single"/>
              </w:rPr>
            </w:pPr>
            <w:r>
              <w:rPr>
                <w:rFonts w:hint="eastAsia" w:hAnsi="宋体"/>
                <w:color w:val="auto"/>
              </w:rPr>
              <w:t>根据该区域环境空气质量状况以及项目废气污染特征，确定为监测项目因子：TSP。</w:t>
            </w:r>
          </w:p>
          <w:p w14:paraId="565FDADC">
            <w:pPr>
              <w:widowControl/>
              <w:adjustRightInd w:val="0"/>
              <w:snapToGrid w:val="0"/>
              <w:spacing w:line="360" w:lineRule="auto"/>
              <w:ind w:firstLine="420" w:firstLineChars="200"/>
              <w:rPr>
                <w:rFonts w:hAnsi="宋体"/>
                <w:color w:val="auto"/>
              </w:rPr>
            </w:pPr>
            <w:r>
              <w:rPr>
                <w:rFonts w:hint="eastAsia" w:hAnsi="宋体"/>
                <w:color w:val="auto"/>
              </w:rPr>
              <w:t>（3）</w:t>
            </w:r>
            <w:r>
              <w:rPr>
                <w:rFonts w:hAnsi="宋体"/>
                <w:color w:val="auto"/>
              </w:rPr>
              <w:t>监测</w:t>
            </w:r>
            <w:r>
              <w:rPr>
                <w:rFonts w:hint="eastAsia" w:hAnsi="宋体"/>
                <w:color w:val="auto"/>
              </w:rPr>
              <w:t>单位及</w:t>
            </w:r>
            <w:r>
              <w:rPr>
                <w:rFonts w:hAnsi="宋体"/>
                <w:color w:val="auto"/>
              </w:rPr>
              <w:t>时间</w:t>
            </w:r>
          </w:p>
          <w:p w14:paraId="2DF5CC8E">
            <w:pPr>
              <w:shd w:val="clear" w:color="auto" w:fill="FFFFFF"/>
              <w:adjustRightInd w:val="0"/>
              <w:snapToGrid w:val="0"/>
              <w:spacing w:line="336" w:lineRule="auto"/>
              <w:ind w:firstLine="420" w:firstLineChars="200"/>
              <w:rPr>
                <w:rFonts w:hAnsi="宋体"/>
                <w:color w:val="auto"/>
              </w:rPr>
            </w:pPr>
            <w:r>
              <w:rPr>
                <w:rFonts w:hint="eastAsia" w:cs="宋体"/>
                <w:color w:val="auto"/>
              </w:rPr>
              <w:t>吉林市万晟环保检测有限公司</w:t>
            </w:r>
            <w:r>
              <w:rPr>
                <w:rFonts w:hint="eastAsia" w:hAnsi="宋体"/>
                <w:color w:val="auto"/>
              </w:rPr>
              <w:t>于</w:t>
            </w:r>
            <w:r>
              <w:rPr>
                <w:rFonts w:hAnsi="宋体"/>
                <w:color w:val="auto"/>
              </w:rPr>
              <w:t>20</w:t>
            </w:r>
            <w:r>
              <w:rPr>
                <w:rFonts w:hint="eastAsia" w:hAnsi="宋体"/>
                <w:color w:val="auto"/>
              </w:rPr>
              <w:t>24</w:t>
            </w:r>
            <w:r>
              <w:rPr>
                <w:rFonts w:hAnsi="宋体"/>
                <w:color w:val="auto"/>
              </w:rPr>
              <w:t>年0</w:t>
            </w:r>
            <w:r>
              <w:rPr>
                <w:rFonts w:hint="eastAsia" w:hAnsi="宋体"/>
                <w:color w:val="auto"/>
              </w:rPr>
              <w:t>8</w:t>
            </w:r>
            <w:r>
              <w:rPr>
                <w:rFonts w:hAnsi="宋体"/>
                <w:color w:val="auto"/>
              </w:rPr>
              <w:t>月</w:t>
            </w:r>
            <w:r>
              <w:rPr>
                <w:rFonts w:hint="eastAsia" w:hAnsi="宋体"/>
                <w:color w:val="auto"/>
              </w:rPr>
              <w:t>11</w:t>
            </w:r>
            <w:r>
              <w:rPr>
                <w:rFonts w:hAnsi="宋体"/>
                <w:color w:val="auto"/>
              </w:rPr>
              <w:t>日</w:t>
            </w:r>
            <w:r>
              <w:rPr>
                <w:rFonts w:hint="eastAsia" w:hAnsi="宋体"/>
                <w:color w:val="auto"/>
              </w:rPr>
              <w:t>～08</w:t>
            </w:r>
            <w:r>
              <w:rPr>
                <w:rFonts w:hAnsi="宋体"/>
                <w:color w:val="auto"/>
              </w:rPr>
              <w:t>月</w:t>
            </w:r>
            <w:r>
              <w:rPr>
                <w:rFonts w:hint="eastAsia" w:hAnsi="宋体"/>
                <w:color w:val="auto"/>
              </w:rPr>
              <w:t>13</w:t>
            </w:r>
            <w:r>
              <w:rPr>
                <w:rFonts w:hAnsi="宋体"/>
                <w:color w:val="auto"/>
              </w:rPr>
              <w:t>日</w:t>
            </w:r>
            <w:r>
              <w:rPr>
                <w:rFonts w:hint="eastAsia" w:hAnsi="宋体"/>
                <w:color w:val="auto"/>
              </w:rPr>
              <w:t>的监测数据。</w:t>
            </w:r>
          </w:p>
          <w:p w14:paraId="53A41E53">
            <w:pPr>
              <w:widowControl/>
              <w:adjustRightInd w:val="0"/>
              <w:snapToGrid w:val="0"/>
              <w:spacing w:line="360" w:lineRule="auto"/>
              <w:ind w:firstLine="420" w:firstLineChars="200"/>
              <w:rPr>
                <w:rFonts w:hAnsi="宋体"/>
                <w:color w:val="auto"/>
              </w:rPr>
            </w:pPr>
            <w:r>
              <w:rPr>
                <w:rFonts w:hint="eastAsia" w:hAnsi="宋体"/>
                <w:color w:val="auto"/>
              </w:rPr>
              <w:t>（4）监测频率</w:t>
            </w:r>
          </w:p>
          <w:p w14:paraId="46C3BF91">
            <w:pPr>
              <w:adjustRightInd w:val="0"/>
              <w:snapToGrid w:val="0"/>
              <w:spacing w:line="336" w:lineRule="auto"/>
              <w:ind w:firstLine="482"/>
              <w:rPr>
                <w:color w:val="auto"/>
              </w:rPr>
            </w:pPr>
            <w:r>
              <w:rPr>
                <w:color w:val="auto"/>
              </w:rPr>
              <w:t>连续</w:t>
            </w:r>
            <w:r>
              <w:rPr>
                <w:rFonts w:hint="eastAsia"/>
                <w:color w:val="auto"/>
              </w:rPr>
              <w:t>3</w:t>
            </w:r>
            <w:r>
              <w:rPr>
                <w:color w:val="auto"/>
              </w:rPr>
              <w:t>天，</w:t>
            </w:r>
            <w:r>
              <w:rPr>
                <w:rFonts w:hint="eastAsia"/>
                <w:color w:val="auto"/>
              </w:rPr>
              <w:t>TSP</w:t>
            </w:r>
            <w:r>
              <w:rPr>
                <w:color w:val="auto"/>
              </w:rPr>
              <w:t>日均值每日至少有20h采样时间。</w:t>
            </w:r>
          </w:p>
          <w:p w14:paraId="09D7C981">
            <w:pPr>
              <w:widowControl/>
              <w:adjustRightInd w:val="0"/>
              <w:snapToGrid w:val="0"/>
              <w:spacing w:line="336" w:lineRule="auto"/>
              <w:ind w:firstLine="420" w:firstLineChars="200"/>
              <w:rPr>
                <w:color w:val="auto"/>
              </w:rPr>
            </w:pPr>
            <w:r>
              <w:rPr>
                <w:rFonts w:hint="eastAsia"/>
                <w:color w:val="auto"/>
              </w:rPr>
              <w:t>（5）评价方法</w:t>
            </w:r>
          </w:p>
          <w:p w14:paraId="5B4D74BB">
            <w:pPr>
              <w:adjustRightInd w:val="0"/>
              <w:snapToGrid w:val="0"/>
              <w:spacing w:line="336" w:lineRule="auto"/>
              <w:ind w:firstLine="482"/>
              <w:rPr>
                <w:color w:val="auto"/>
              </w:rPr>
            </w:pPr>
            <w:r>
              <w:rPr>
                <w:color w:val="auto"/>
              </w:rPr>
              <w:t>采用占标率法，同时计算污染物日均值超标率。数学表达式如下：</w:t>
            </w:r>
          </w:p>
          <w:p w14:paraId="264F33C9">
            <w:pPr>
              <w:adjustRightInd w:val="0"/>
              <w:snapToGrid w:val="0"/>
              <w:spacing w:line="336" w:lineRule="auto"/>
              <w:ind w:firstLine="2230" w:firstLineChars="1062"/>
              <w:rPr>
                <w:color w:val="auto"/>
              </w:rPr>
            </w:pPr>
            <w:r>
              <w:rPr>
                <w:color w:val="auto"/>
              </w:rPr>
              <w:t>Pi=Ci/C</w:t>
            </w:r>
            <w:r>
              <w:rPr>
                <w:color w:val="auto"/>
                <w:vertAlign w:val="subscript"/>
              </w:rPr>
              <w:t>0</w:t>
            </w:r>
            <w:r>
              <w:rPr>
                <w:color w:val="auto"/>
              </w:rPr>
              <w:t>×100%</w:t>
            </w:r>
          </w:p>
          <w:p w14:paraId="1D23E573">
            <w:pPr>
              <w:adjustRightInd w:val="0"/>
              <w:snapToGrid w:val="0"/>
              <w:spacing w:line="336" w:lineRule="auto"/>
              <w:ind w:firstLine="482"/>
              <w:rPr>
                <w:color w:val="auto"/>
              </w:rPr>
            </w:pPr>
            <w:r>
              <w:rPr>
                <w:color w:val="auto"/>
              </w:rPr>
              <w:t>式中：Pi—第i种污染物最大质量浓度占标率；</w:t>
            </w:r>
          </w:p>
          <w:p w14:paraId="5ECBF8A7">
            <w:pPr>
              <w:adjustRightInd w:val="0"/>
              <w:snapToGrid w:val="0"/>
              <w:spacing w:line="336" w:lineRule="auto"/>
              <w:ind w:firstLine="1050" w:firstLineChars="500"/>
              <w:rPr>
                <w:color w:val="auto"/>
              </w:rPr>
            </w:pPr>
            <w:r>
              <w:rPr>
                <w:color w:val="auto"/>
              </w:rPr>
              <w:t>Ci—第i种污染物的最大质量浓度，µg/m</w:t>
            </w:r>
            <w:r>
              <w:rPr>
                <w:color w:val="auto"/>
                <w:vertAlign w:val="superscript"/>
              </w:rPr>
              <w:t>3</w:t>
            </w:r>
            <w:r>
              <w:rPr>
                <w:color w:val="auto"/>
              </w:rPr>
              <w:t>；</w:t>
            </w:r>
          </w:p>
          <w:p w14:paraId="30ECEB0A">
            <w:pPr>
              <w:adjustRightInd w:val="0"/>
              <w:snapToGrid w:val="0"/>
              <w:spacing w:line="336" w:lineRule="auto"/>
              <w:ind w:firstLine="1050" w:firstLineChars="500"/>
              <w:rPr>
                <w:color w:val="auto"/>
              </w:rPr>
            </w:pPr>
            <w:r>
              <w:rPr>
                <w:color w:val="auto"/>
              </w:rPr>
              <w:t>C</w:t>
            </w:r>
            <w:r>
              <w:rPr>
                <w:color w:val="auto"/>
                <w:vertAlign w:val="subscript"/>
              </w:rPr>
              <w:t>0</w:t>
            </w:r>
            <w:r>
              <w:rPr>
                <w:color w:val="auto"/>
              </w:rPr>
              <w:t>—第i种污染物环境质量标准，µg/m</w:t>
            </w:r>
            <w:r>
              <w:rPr>
                <w:color w:val="auto"/>
                <w:vertAlign w:val="superscript"/>
              </w:rPr>
              <w:t>3</w:t>
            </w:r>
            <w:r>
              <w:rPr>
                <w:color w:val="auto"/>
              </w:rPr>
              <w:t>。</w:t>
            </w:r>
          </w:p>
          <w:p w14:paraId="33E92CB4">
            <w:pPr>
              <w:adjustRightInd w:val="0"/>
              <w:snapToGrid w:val="0"/>
              <w:spacing w:line="336" w:lineRule="auto"/>
              <w:ind w:firstLine="480"/>
              <w:rPr>
                <w:color w:val="auto"/>
              </w:rPr>
            </w:pPr>
            <w:r>
              <w:rPr>
                <w:color w:val="auto"/>
              </w:rPr>
              <w:t>当污染物的标准指数Pi大于1时，说明该污染物已不能满足二级大气环境质量要求，当Pi小于1时则表示符合二级质量标准要求，环境对i种污染物尚有一定的承载能力。</w:t>
            </w:r>
          </w:p>
          <w:p w14:paraId="5AA83D8F">
            <w:pPr>
              <w:adjustRightInd w:val="0"/>
              <w:snapToGrid w:val="0"/>
              <w:spacing w:line="336" w:lineRule="auto"/>
              <w:ind w:firstLine="525" w:firstLineChars="250"/>
              <w:rPr>
                <w:color w:val="auto"/>
              </w:rPr>
            </w:pPr>
            <w:r>
              <w:rPr>
                <w:rFonts w:hint="eastAsia"/>
                <w:color w:val="auto"/>
              </w:rPr>
              <w:t>（6）评价标准</w:t>
            </w:r>
          </w:p>
          <w:p w14:paraId="0505B5B3">
            <w:pPr>
              <w:adjustRightInd w:val="0"/>
              <w:snapToGrid w:val="0"/>
              <w:spacing w:line="360" w:lineRule="auto"/>
              <w:ind w:firstLine="420" w:firstLineChars="200"/>
              <w:rPr>
                <w:color w:val="auto"/>
              </w:rPr>
            </w:pPr>
            <w:r>
              <w:rPr>
                <w:rFonts w:hint="eastAsia"/>
                <w:color w:val="auto"/>
              </w:rPr>
              <w:t>选用</w:t>
            </w:r>
            <w:r>
              <w:rPr>
                <w:color w:val="auto"/>
              </w:rPr>
              <w:t>GB3095-2012</w:t>
            </w:r>
            <w:r>
              <w:rPr>
                <w:rFonts w:hint="eastAsia"/>
                <w:color w:val="auto"/>
              </w:rPr>
              <w:t>《环境空气质量标准》二级标准。</w:t>
            </w:r>
          </w:p>
          <w:p w14:paraId="461BED56">
            <w:pPr>
              <w:adjustRightInd w:val="0"/>
              <w:snapToGrid w:val="0"/>
              <w:spacing w:line="336" w:lineRule="auto"/>
              <w:ind w:firstLine="420" w:firstLineChars="200"/>
              <w:rPr>
                <w:color w:val="auto"/>
              </w:rPr>
            </w:pPr>
            <w:r>
              <w:rPr>
                <w:rFonts w:hint="eastAsia"/>
                <w:color w:val="auto"/>
              </w:rPr>
              <w:t>（7）监测</w:t>
            </w:r>
            <w:r>
              <w:rPr>
                <w:color w:val="auto"/>
              </w:rPr>
              <w:t>结果与</w:t>
            </w:r>
            <w:r>
              <w:rPr>
                <w:rFonts w:hint="eastAsia"/>
                <w:color w:val="auto"/>
              </w:rPr>
              <w:t>评价</w:t>
            </w:r>
          </w:p>
          <w:p w14:paraId="7C0AB98A">
            <w:pPr>
              <w:adjustRightInd w:val="0"/>
              <w:snapToGrid w:val="0"/>
              <w:spacing w:line="336" w:lineRule="auto"/>
              <w:ind w:firstLine="480"/>
              <w:rPr>
                <w:color w:val="auto"/>
              </w:rPr>
            </w:pPr>
            <w:r>
              <w:rPr>
                <w:color w:val="auto"/>
              </w:rPr>
              <w:t>环境空气质量现状监测与评价统计结果见</w:t>
            </w:r>
            <w:r>
              <w:rPr>
                <w:rFonts w:hint="eastAsia"/>
                <w:color w:val="auto"/>
              </w:rPr>
              <w:t>下</w:t>
            </w:r>
            <w:r>
              <w:rPr>
                <w:color w:val="auto"/>
              </w:rPr>
              <w:t>表。</w:t>
            </w:r>
          </w:p>
          <w:p w14:paraId="07FDD783">
            <w:pPr>
              <w:adjustRightInd w:val="0"/>
              <w:snapToGrid w:val="0"/>
              <w:ind w:firstLine="420" w:firstLineChars="200"/>
              <w:jc w:val="center"/>
              <w:rPr>
                <w:rFonts w:hAnsi="宋体"/>
                <w:color w:val="auto"/>
              </w:rPr>
            </w:pPr>
            <w:r>
              <w:rPr>
                <w:rFonts w:hAnsi="宋体"/>
                <w:color w:val="auto"/>
              </w:rPr>
              <w:t>环境空气质量现状评价结果表</w:t>
            </w:r>
          </w:p>
          <w:tbl>
            <w:tblPr>
              <w:tblStyle w:val="24"/>
              <w:tblpPr w:leftFromText="180" w:rightFromText="180" w:vertAnchor="text" w:tblpY="1"/>
              <w:tblOverlap w:val="never"/>
              <w:tblW w:w="496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1156"/>
              <w:gridCol w:w="951"/>
              <w:gridCol w:w="1181"/>
              <w:gridCol w:w="1243"/>
              <w:gridCol w:w="1121"/>
              <w:gridCol w:w="656"/>
              <w:gridCol w:w="602"/>
            </w:tblGrid>
            <w:tr w14:paraId="32A1CB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637" w:type="pct"/>
                  <w:tcBorders>
                    <w:bottom w:val="single" w:color="auto" w:sz="4" w:space="0"/>
                  </w:tcBorders>
                  <w:vAlign w:val="center"/>
                </w:tcPr>
                <w:p w14:paraId="06074D2E">
                  <w:pPr>
                    <w:adjustRightInd w:val="0"/>
                    <w:snapToGrid w:val="0"/>
                    <w:jc w:val="center"/>
                    <w:rPr>
                      <w:snapToGrid w:val="0"/>
                      <w:color w:val="auto"/>
                      <w:sz w:val="18"/>
                      <w:szCs w:val="18"/>
                    </w:rPr>
                  </w:pPr>
                  <w:r>
                    <w:rPr>
                      <w:snapToGrid w:val="0"/>
                      <w:color w:val="auto"/>
                      <w:sz w:val="18"/>
                      <w:szCs w:val="18"/>
                    </w:rPr>
                    <w:t>监测</w:t>
                  </w:r>
                  <w:r>
                    <w:rPr>
                      <w:rFonts w:hint="eastAsia"/>
                      <w:snapToGrid w:val="0"/>
                      <w:color w:val="auto"/>
                      <w:sz w:val="18"/>
                      <w:szCs w:val="18"/>
                    </w:rPr>
                    <w:t>点位</w:t>
                  </w:r>
                </w:p>
              </w:tc>
              <w:tc>
                <w:tcPr>
                  <w:tcW w:w="729" w:type="pct"/>
                  <w:tcBorders>
                    <w:bottom w:val="single" w:color="auto" w:sz="4" w:space="0"/>
                  </w:tcBorders>
                  <w:vAlign w:val="center"/>
                </w:tcPr>
                <w:p w14:paraId="57993436">
                  <w:pPr>
                    <w:adjustRightInd w:val="0"/>
                    <w:snapToGrid w:val="0"/>
                    <w:jc w:val="center"/>
                    <w:rPr>
                      <w:snapToGrid w:val="0"/>
                      <w:color w:val="auto"/>
                      <w:sz w:val="18"/>
                      <w:szCs w:val="18"/>
                    </w:rPr>
                  </w:pPr>
                  <w:r>
                    <w:rPr>
                      <w:rFonts w:hint="eastAsia"/>
                      <w:snapToGrid w:val="0"/>
                      <w:color w:val="auto"/>
                      <w:sz w:val="18"/>
                      <w:szCs w:val="18"/>
                    </w:rPr>
                    <w:t>污染物</w:t>
                  </w:r>
                </w:p>
              </w:tc>
              <w:tc>
                <w:tcPr>
                  <w:tcW w:w="600" w:type="pct"/>
                  <w:tcBorders>
                    <w:bottom w:val="single" w:color="auto" w:sz="4" w:space="0"/>
                  </w:tcBorders>
                  <w:vAlign w:val="center"/>
                </w:tcPr>
                <w:p w14:paraId="34FDAAB3">
                  <w:pPr>
                    <w:adjustRightInd w:val="0"/>
                    <w:snapToGrid w:val="0"/>
                    <w:jc w:val="center"/>
                    <w:rPr>
                      <w:snapToGrid w:val="0"/>
                      <w:color w:val="auto"/>
                      <w:sz w:val="18"/>
                      <w:szCs w:val="18"/>
                    </w:rPr>
                  </w:pPr>
                  <w:r>
                    <w:rPr>
                      <w:rFonts w:hint="eastAsia"/>
                      <w:snapToGrid w:val="0"/>
                      <w:color w:val="auto"/>
                      <w:sz w:val="18"/>
                      <w:szCs w:val="18"/>
                    </w:rPr>
                    <w:t>平均</w:t>
                  </w:r>
                </w:p>
                <w:p w14:paraId="66118E24">
                  <w:pPr>
                    <w:adjustRightInd w:val="0"/>
                    <w:snapToGrid w:val="0"/>
                    <w:jc w:val="center"/>
                    <w:rPr>
                      <w:snapToGrid w:val="0"/>
                      <w:color w:val="auto"/>
                      <w:sz w:val="18"/>
                      <w:szCs w:val="18"/>
                    </w:rPr>
                  </w:pPr>
                  <w:r>
                    <w:rPr>
                      <w:rFonts w:hint="eastAsia"/>
                      <w:snapToGrid w:val="0"/>
                      <w:color w:val="auto"/>
                      <w:sz w:val="18"/>
                      <w:szCs w:val="18"/>
                    </w:rPr>
                    <w:t>时间</w:t>
                  </w:r>
                </w:p>
              </w:tc>
              <w:tc>
                <w:tcPr>
                  <w:tcW w:w="745" w:type="pct"/>
                  <w:tcBorders>
                    <w:bottom w:val="single" w:color="auto" w:sz="4" w:space="0"/>
                  </w:tcBorders>
                  <w:vAlign w:val="center"/>
                </w:tcPr>
                <w:p w14:paraId="5866FA94">
                  <w:pPr>
                    <w:adjustRightInd w:val="0"/>
                    <w:snapToGrid w:val="0"/>
                    <w:jc w:val="center"/>
                    <w:rPr>
                      <w:snapToGrid w:val="0"/>
                      <w:color w:val="auto"/>
                      <w:sz w:val="18"/>
                      <w:szCs w:val="18"/>
                    </w:rPr>
                  </w:pPr>
                  <w:r>
                    <w:rPr>
                      <w:rFonts w:hint="eastAsia"/>
                      <w:snapToGrid w:val="0"/>
                      <w:color w:val="auto"/>
                      <w:sz w:val="18"/>
                      <w:szCs w:val="18"/>
                    </w:rPr>
                    <w:t>评价标准</w:t>
                  </w:r>
                </w:p>
                <w:p w14:paraId="6263E045">
                  <w:pPr>
                    <w:adjustRightInd w:val="0"/>
                    <w:snapToGrid w:val="0"/>
                    <w:jc w:val="center"/>
                    <w:rPr>
                      <w:snapToGrid w:val="0"/>
                      <w:color w:val="auto"/>
                      <w:sz w:val="18"/>
                      <w:szCs w:val="18"/>
                    </w:rPr>
                  </w:pPr>
                  <w:r>
                    <w:rPr>
                      <w:color w:val="auto"/>
                      <w:sz w:val="18"/>
                      <w:szCs w:val="18"/>
                    </w:rPr>
                    <w:t>µg</w:t>
                  </w:r>
                  <w:r>
                    <w:rPr>
                      <w:rFonts w:hint="eastAsia"/>
                      <w:snapToGrid w:val="0"/>
                      <w:color w:val="auto"/>
                      <w:sz w:val="18"/>
                      <w:szCs w:val="18"/>
                    </w:rPr>
                    <w:t xml:space="preserve"> /m</w:t>
                  </w:r>
                  <w:r>
                    <w:rPr>
                      <w:rFonts w:hint="eastAsia"/>
                      <w:snapToGrid w:val="0"/>
                      <w:color w:val="auto"/>
                      <w:sz w:val="18"/>
                      <w:szCs w:val="18"/>
                      <w:vertAlign w:val="superscript"/>
                    </w:rPr>
                    <w:t>3</w:t>
                  </w:r>
                </w:p>
              </w:tc>
              <w:tc>
                <w:tcPr>
                  <w:tcW w:w="784" w:type="pct"/>
                  <w:tcBorders>
                    <w:bottom w:val="single" w:color="auto" w:sz="4" w:space="0"/>
                    <w:right w:val="single" w:color="auto" w:sz="2" w:space="0"/>
                  </w:tcBorders>
                  <w:vAlign w:val="center"/>
                </w:tcPr>
                <w:p w14:paraId="3164AFC6">
                  <w:pPr>
                    <w:adjustRightInd w:val="0"/>
                    <w:snapToGrid w:val="0"/>
                    <w:jc w:val="center"/>
                    <w:rPr>
                      <w:snapToGrid w:val="0"/>
                      <w:color w:val="auto"/>
                      <w:sz w:val="18"/>
                      <w:szCs w:val="18"/>
                    </w:rPr>
                  </w:pPr>
                  <w:r>
                    <w:rPr>
                      <w:rFonts w:hint="eastAsia"/>
                      <w:snapToGrid w:val="0"/>
                      <w:color w:val="auto"/>
                      <w:sz w:val="18"/>
                      <w:szCs w:val="18"/>
                    </w:rPr>
                    <w:t>监测浓度范围</w:t>
                  </w:r>
                  <w:r>
                    <w:rPr>
                      <w:color w:val="auto"/>
                      <w:sz w:val="18"/>
                      <w:szCs w:val="18"/>
                    </w:rPr>
                    <w:t>µg</w:t>
                  </w:r>
                  <w:r>
                    <w:rPr>
                      <w:rFonts w:hint="eastAsia"/>
                      <w:snapToGrid w:val="0"/>
                      <w:color w:val="auto"/>
                      <w:sz w:val="18"/>
                      <w:szCs w:val="18"/>
                    </w:rPr>
                    <w:t xml:space="preserve"> /m</w:t>
                  </w:r>
                  <w:r>
                    <w:rPr>
                      <w:rFonts w:hint="eastAsia"/>
                      <w:snapToGrid w:val="0"/>
                      <w:color w:val="auto"/>
                      <w:sz w:val="18"/>
                      <w:szCs w:val="18"/>
                      <w:vertAlign w:val="superscript"/>
                    </w:rPr>
                    <w:t>3</w:t>
                  </w:r>
                </w:p>
              </w:tc>
              <w:tc>
                <w:tcPr>
                  <w:tcW w:w="708" w:type="pct"/>
                  <w:tcBorders>
                    <w:bottom w:val="single" w:color="auto" w:sz="4" w:space="0"/>
                    <w:right w:val="single" w:color="auto" w:sz="2" w:space="0"/>
                  </w:tcBorders>
                  <w:vAlign w:val="center"/>
                </w:tcPr>
                <w:p w14:paraId="17FEC881">
                  <w:pPr>
                    <w:adjustRightInd w:val="0"/>
                    <w:snapToGrid w:val="0"/>
                    <w:jc w:val="center"/>
                    <w:rPr>
                      <w:snapToGrid w:val="0"/>
                      <w:color w:val="auto"/>
                      <w:sz w:val="18"/>
                      <w:szCs w:val="18"/>
                    </w:rPr>
                  </w:pPr>
                  <w:r>
                    <w:rPr>
                      <w:rFonts w:hint="eastAsia"/>
                      <w:snapToGrid w:val="0"/>
                      <w:color w:val="auto"/>
                      <w:sz w:val="18"/>
                      <w:szCs w:val="18"/>
                    </w:rPr>
                    <w:t>最大浓度占标率/%</w:t>
                  </w:r>
                </w:p>
              </w:tc>
              <w:tc>
                <w:tcPr>
                  <w:tcW w:w="414" w:type="pct"/>
                  <w:tcBorders>
                    <w:left w:val="single" w:color="auto" w:sz="2" w:space="0"/>
                    <w:bottom w:val="single" w:color="auto" w:sz="4" w:space="0"/>
                  </w:tcBorders>
                  <w:vAlign w:val="center"/>
                </w:tcPr>
                <w:p w14:paraId="04ED1E5E">
                  <w:pPr>
                    <w:adjustRightInd w:val="0"/>
                    <w:snapToGrid w:val="0"/>
                    <w:jc w:val="center"/>
                    <w:rPr>
                      <w:snapToGrid w:val="0"/>
                      <w:color w:val="auto"/>
                      <w:sz w:val="18"/>
                      <w:szCs w:val="18"/>
                    </w:rPr>
                  </w:pPr>
                  <w:r>
                    <w:rPr>
                      <w:rFonts w:hint="eastAsia"/>
                      <w:snapToGrid w:val="0"/>
                      <w:color w:val="auto"/>
                      <w:sz w:val="18"/>
                      <w:szCs w:val="18"/>
                    </w:rPr>
                    <w:t>超标率/%</w:t>
                  </w:r>
                </w:p>
              </w:tc>
              <w:tc>
                <w:tcPr>
                  <w:tcW w:w="380" w:type="pct"/>
                  <w:tcBorders>
                    <w:left w:val="single" w:color="auto" w:sz="2" w:space="0"/>
                    <w:bottom w:val="single" w:color="auto" w:sz="4" w:space="0"/>
                  </w:tcBorders>
                  <w:vAlign w:val="center"/>
                </w:tcPr>
                <w:p w14:paraId="15097C5F">
                  <w:pPr>
                    <w:adjustRightInd w:val="0"/>
                    <w:snapToGrid w:val="0"/>
                    <w:jc w:val="center"/>
                    <w:rPr>
                      <w:snapToGrid w:val="0"/>
                      <w:color w:val="auto"/>
                      <w:sz w:val="18"/>
                      <w:szCs w:val="18"/>
                    </w:rPr>
                  </w:pPr>
                  <w:r>
                    <w:rPr>
                      <w:rFonts w:hint="eastAsia"/>
                      <w:snapToGrid w:val="0"/>
                      <w:color w:val="auto"/>
                      <w:sz w:val="18"/>
                      <w:szCs w:val="18"/>
                    </w:rPr>
                    <w:t>达标情况</w:t>
                  </w:r>
                </w:p>
              </w:tc>
            </w:tr>
            <w:tr w14:paraId="307A73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9" w:hRule="atLeast"/>
              </w:trPr>
              <w:tc>
                <w:tcPr>
                  <w:tcW w:w="637" w:type="pct"/>
                  <w:vAlign w:val="center"/>
                </w:tcPr>
                <w:p w14:paraId="5EB6233C">
                  <w:pPr>
                    <w:adjustRightInd w:val="0"/>
                    <w:snapToGrid w:val="0"/>
                    <w:jc w:val="center"/>
                    <w:rPr>
                      <w:snapToGrid w:val="0"/>
                      <w:color w:val="auto"/>
                      <w:sz w:val="18"/>
                      <w:szCs w:val="18"/>
                    </w:rPr>
                  </w:pPr>
                  <w:r>
                    <w:rPr>
                      <w:rFonts w:hint="eastAsia"/>
                      <w:color w:val="auto"/>
                      <w:sz w:val="18"/>
                      <w:szCs w:val="18"/>
                    </w:rPr>
                    <w:t>铁桥屯1</w:t>
                  </w:r>
                  <w:r>
                    <w:rPr>
                      <w:color w:val="auto"/>
                      <w:sz w:val="18"/>
                      <w:szCs w:val="18"/>
                    </w:rPr>
                    <w:t>#</w:t>
                  </w:r>
                </w:p>
              </w:tc>
              <w:tc>
                <w:tcPr>
                  <w:tcW w:w="729" w:type="pct"/>
                  <w:vAlign w:val="center"/>
                </w:tcPr>
                <w:p w14:paraId="260A9A53">
                  <w:pPr>
                    <w:adjustRightInd w:val="0"/>
                    <w:snapToGrid w:val="0"/>
                    <w:jc w:val="center"/>
                    <w:rPr>
                      <w:color w:val="auto"/>
                      <w:sz w:val="18"/>
                      <w:szCs w:val="18"/>
                    </w:rPr>
                  </w:pPr>
                  <w:r>
                    <w:rPr>
                      <w:rFonts w:hint="eastAsia"/>
                      <w:color w:val="auto"/>
                      <w:sz w:val="18"/>
                      <w:szCs w:val="18"/>
                    </w:rPr>
                    <w:t>TSP</w:t>
                  </w:r>
                </w:p>
              </w:tc>
              <w:tc>
                <w:tcPr>
                  <w:tcW w:w="600" w:type="pct"/>
                  <w:vAlign w:val="center"/>
                </w:tcPr>
                <w:p w14:paraId="278D3964">
                  <w:pPr>
                    <w:adjustRightInd w:val="0"/>
                    <w:snapToGrid w:val="0"/>
                    <w:jc w:val="center"/>
                    <w:rPr>
                      <w:color w:val="auto"/>
                      <w:sz w:val="18"/>
                      <w:szCs w:val="18"/>
                    </w:rPr>
                  </w:pPr>
                  <w:r>
                    <w:rPr>
                      <w:rFonts w:hint="eastAsia"/>
                      <w:color w:val="auto"/>
                      <w:sz w:val="18"/>
                      <w:szCs w:val="18"/>
                    </w:rPr>
                    <w:t>24h</w:t>
                  </w:r>
                </w:p>
              </w:tc>
              <w:tc>
                <w:tcPr>
                  <w:tcW w:w="745" w:type="pct"/>
                  <w:vAlign w:val="center"/>
                </w:tcPr>
                <w:p w14:paraId="11D6B001">
                  <w:pPr>
                    <w:adjustRightInd w:val="0"/>
                    <w:snapToGrid w:val="0"/>
                    <w:jc w:val="center"/>
                    <w:rPr>
                      <w:color w:val="auto"/>
                      <w:sz w:val="18"/>
                      <w:szCs w:val="18"/>
                    </w:rPr>
                  </w:pPr>
                  <w:r>
                    <w:rPr>
                      <w:rFonts w:hint="eastAsia"/>
                      <w:color w:val="auto"/>
                      <w:sz w:val="18"/>
                      <w:szCs w:val="18"/>
                    </w:rPr>
                    <w:t>300</w:t>
                  </w:r>
                </w:p>
              </w:tc>
              <w:tc>
                <w:tcPr>
                  <w:tcW w:w="784" w:type="pct"/>
                  <w:tcBorders>
                    <w:right w:val="single" w:color="auto" w:sz="2" w:space="0"/>
                  </w:tcBorders>
                  <w:vAlign w:val="center"/>
                </w:tcPr>
                <w:p w14:paraId="736BA5C7">
                  <w:pPr>
                    <w:adjustRightInd w:val="0"/>
                    <w:snapToGrid w:val="0"/>
                    <w:jc w:val="center"/>
                    <w:rPr>
                      <w:snapToGrid w:val="0"/>
                      <w:color w:val="auto"/>
                      <w:sz w:val="18"/>
                      <w:szCs w:val="18"/>
                    </w:rPr>
                  </w:pPr>
                  <w:r>
                    <w:rPr>
                      <w:rFonts w:hint="eastAsia"/>
                      <w:color w:val="auto"/>
                      <w:sz w:val="18"/>
                      <w:szCs w:val="18"/>
                    </w:rPr>
                    <w:t>42</w:t>
                  </w:r>
                  <w:r>
                    <w:rPr>
                      <w:rFonts w:hint="eastAsia" w:ascii="宋体" w:hAnsi="宋体"/>
                      <w:color w:val="auto"/>
                      <w:sz w:val="18"/>
                      <w:szCs w:val="18"/>
                    </w:rPr>
                    <w:t>～</w:t>
                  </w:r>
                  <w:r>
                    <w:rPr>
                      <w:rFonts w:hint="eastAsia"/>
                      <w:color w:val="auto"/>
                      <w:sz w:val="18"/>
                      <w:szCs w:val="18"/>
                    </w:rPr>
                    <w:t>51</w:t>
                  </w:r>
                </w:p>
              </w:tc>
              <w:tc>
                <w:tcPr>
                  <w:tcW w:w="708" w:type="pct"/>
                  <w:tcBorders>
                    <w:right w:val="single" w:color="auto" w:sz="2" w:space="0"/>
                  </w:tcBorders>
                  <w:vAlign w:val="center"/>
                </w:tcPr>
                <w:p w14:paraId="64E2FFCA">
                  <w:pPr>
                    <w:adjustRightInd w:val="0"/>
                    <w:snapToGrid w:val="0"/>
                    <w:jc w:val="center"/>
                    <w:rPr>
                      <w:snapToGrid w:val="0"/>
                      <w:color w:val="auto"/>
                      <w:sz w:val="18"/>
                      <w:szCs w:val="18"/>
                    </w:rPr>
                  </w:pPr>
                  <w:r>
                    <w:rPr>
                      <w:rFonts w:hint="eastAsia"/>
                      <w:snapToGrid w:val="0"/>
                      <w:color w:val="auto"/>
                      <w:sz w:val="18"/>
                      <w:szCs w:val="18"/>
                    </w:rPr>
                    <w:t>17</w:t>
                  </w:r>
                </w:p>
              </w:tc>
              <w:tc>
                <w:tcPr>
                  <w:tcW w:w="414" w:type="pct"/>
                  <w:tcBorders>
                    <w:left w:val="single" w:color="auto" w:sz="2" w:space="0"/>
                  </w:tcBorders>
                  <w:vAlign w:val="center"/>
                </w:tcPr>
                <w:p w14:paraId="40BBDA88">
                  <w:pPr>
                    <w:adjustRightInd w:val="0"/>
                    <w:snapToGrid w:val="0"/>
                    <w:jc w:val="center"/>
                    <w:rPr>
                      <w:color w:val="auto"/>
                      <w:sz w:val="18"/>
                      <w:szCs w:val="18"/>
                    </w:rPr>
                  </w:pPr>
                  <w:r>
                    <w:rPr>
                      <w:rFonts w:hint="eastAsia"/>
                      <w:color w:val="auto"/>
                      <w:sz w:val="18"/>
                      <w:szCs w:val="18"/>
                    </w:rPr>
                    <w:t>0</w:t>
                  </w:r>
                </w:p>
              </w:tc>
              <w:tc>
                <w:tcPr>
                  <w:tcW w:w="380" w:type="pct"/>
                  <w:tcBorders>
                    <w:left w:val="single" w:color="auto" w:sz="2" w:space="0"/>
                  </w:tcBorders>
                  <w:vAlign w:val="center"/>
                </w:tcPr>
                <w:p w14:paraId="05045697">
                  <w:pPr>
                    <w:adjustRightInd w:val="0"/>
                    <w:snapToGrid w:val="0"/>
                    <w:jc w:val="center"/>
                    <w:rPr>
                      <w:color w:val="auto"/>
                      <w:sz w:val="18"/>
                      <w:szCs w:val="18"/>
                    </w:rPr>
                  </w:pPr>
                  <w:r>
                    <w:rPr>
                      <w:rFonts w:hint="eastAsia"/>
                      <w:color w:val="auto"/>
                      <w:sz w:val="18"/>
                      <w:szCs w:val="18"/>
                    </w:rPr>
                    <w:t>达标</w:t>
                  </w:r>
                </w:p>
              </w:tc>
            </w:tr>
          </w:tbl>
          <w:p w14:paraId="2EF715D1">
            <w:pPr>
              <w:adjustRightInd w:val="0"/>
              <w:snapToGrid w:val="0"/>
              <w:jc w:val="center"/>
              <w:rPr>
                <w:b/>
                <w:bCs/>
                <w:color w:val="auto"/>
                <w:sz w:val="10"/>
                <w:szCs w:val="10"/>
              </w:rPr>
            </w:pPr>
          </w:p>
          <w:p w14:paraId="3028D21D">
            <w:pPr>
              <w:shd w:val="clear" w:color="auto" w:fill="FFFFFF"/>
              <w:adjustRightInd w:val="0"/>
              <w:snapToGrid w:val="0"/>
              <w:spacing w:line="336" w:lineRule="auto"/>
              <w:ind w:firstLine="420" w:firstLineChars="200"/>
              <w:rPr>
                <w:snapToGrid w:val="0"/>
                <w:color w:val="auto"/>
              </w:rPr>
            </w:pPr>
            <w:r>
              <w:rPr>
                <w:bCs/>
                <w:color w:val="auto"/>
              </w:rPr>
              <w:t>通过监测可知，</w:t>
            </w:r>
            <w:r>
              <w:rPr>
                <w:color w:val="auto"/>
              </w:rPr>
              <w:t>特征污染物满足环境质量标准要求，说明区域环境质量较好，且有一定的环境容量。</w:t>
            </w:r>
          </w:p>
          <w:p w14:paraId="27402599">
            <w:pPr>
              <w:pStyle w:val="10"/>
              <w:shd w:val="clear" w:color="auto" w:fill="FFFFFF"/>
              <w:adjustRightInd w:val="0"/>
              <w:snapToGrid w:val="0"/>
              <w:spacing w:after="0" w:line="336" w:lineRule="auto"/>
              <w:ind w:left="0" w:leftChars="0"/>
              <w:rPr>
                <w:color w:val="auto"/>
              </w:rPr>
            </w:pPr>
            <w:r>
              <w:rPr>
                <w:rFonts w:hint="eastAsia"/>
                <w:color w:val="auto"/>
              </w:rPr>
              <w:t>3</w:t>
            </w:r>
            <w:r>
              <w:rPr>
                <w:color w:val="auto"/>
              </w:rPr>
              <w:t>、声环境质量现状调查与评价</w:t>
            </w:r>
          </w:p>
          <w:p w14:paraId="06FE84C6">
            <w:pPr>
              <w:widowControl/>
              <w:adjustRightInd w:val="0"/>
              <w:snapToGrid w:val="0"/>
              <w:spacing w:line="360" w:lineRule="auto"/>
              <w:ind w:firstLine="420" w:firstLineChars="200"/>
              <w:rPr>
                <w:color w:val="auto"/>
                <w:sz w:val="24"/>
              </w:rPr>
            </w:pPr>
            <w:r>
              <w:rPr>
                <w:bCs/>
                <w:color w:val="auto"/>
              </w:rPr>
              <w:t>根据《建设项目环境影响报告表编制技术指南（污染影响类）（试行）》，厂界外周边50m范围内存在声环境保护目标的建设项目，应监测保护目标声环境质量现状并评价达标情况。项目厂界外周边50m范围内不存在声环境保护目标，故未开展声环境质量现状监测。</w:t>
            </w:r>
          </w:p>
          <w:p w14:paraId="141DF2F1">
            <w:pPr>
              <w:pStyle w:val="10"/>
              <w:shd w:val="clear" w:color="auto" w:fill="FFFFFF"/>
              <w:adjustRightInd w:val="0"/>
              <w:snapToGrid w:val="0"/>
              <w:ind w:left="0" w:leftChars="0"/>
              <w:rPr>
                <w:color w:val="auto"/>
              </w:rPr>
            </w:pPr>
            <w:r>
              <w:rPr>
                <w:rFonts w:hint="eastAsia"/>
                <w:color w:val="auto"/>
              </w:rPr>
              <w:t>4、土壤、地下水环境质量现状</w:t>
            </w:r>
          </w:p>
          <w:p w14:paraId="27B32017">
            <w:pPr>
              <w:pStyle w:val="68"/>
              <w:adjustRightInd w:val="0"/>
              <w:snapToGrid w:val="0"/>
              <w:ind w:firstLine="480"/>
              <w:rPr>
                <w:color w:val="auto"/>
                <w:sz w:val="21"/>
                <w:szCs w:val="21"/>
              </w:rPr>
            </w:pPr>
            <w:r>
              <w:rPr>
                <w:rFonts w:hint="eastAsia"/>
                <w:color w:val="auto"/>
                <w:sz w:val="21"/>
                <w:szCs w:val="21"/>
              </w:rPr>
              <w:t>根据《建设项目环境影响报告表编制技术指南（污染类）》（试行），地下水、土壤环境。原则上不开展环境质量现状调查。建设项目存在土壤、地下水环境污染途径的，应结合污染源、保护目标分布情况开展现状调查以留作背景值。</w:t>
            </w:r>
          </w:p>
          <w:p w14:paraId="0E97916D">
            <w:pPr>
              <w:pStyle w:val="68"/>
              <w:adjustRightInd w:val="0"/>
              <w:snapToGrid w:val="0"/>
              <w:ind w:firstLine="480"/>
              <w:rPr>
                <w:rFonts w:hint="eastAsia"/>
                <w:color w:val="auto"/>
                <w:sz w:val="21"/>
                <w:szCs w:val="21"/>
              </w:rPr>
            </w:pPr>
            <w:r>
              <w:rPr>
                <w:rFonts w:hint="eastAsia"/>
                <w:color w:val="auto"/>
                <w:sz w:val="21"/>
                <w:szCs w:val="21"/>
              </w:rPr>
              <w:t>本项目产生的污染物主要为粉尘，堆场地面、厂房内地面均进行硬化处理，净水池进行防渗处理，产生的粉尘经处理后达标排放，不存在土壤、地下水环境污染途径，故项目不进行土壤、地下水环境质量现状调查。</w:t>
            </w:r>
          </w:p>
          <w:p w14:paraId="6F819821">
            <w:pPr>
              <w:pStyle w:val="68"/>
              <w:adjustRightInd w:val="0"/>
              <w:snapToGrid w:val="0"/>
              <w:rPr>
                <w:rFonts w:ascii="宋体" w:hAnsi="宋体" w:cs="宋体"/>
                <w:color w:val="auto"/>
              </w:rPr>
            </w:pPr>
          </w:p>
        </w:tc>
      </w:tr>
      <w:tr w14:paraId="23329F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vAlign w:val="center"/>
          </w:tcPr>
          <w:p w14:paraId="2007E12C">
            <w:pPr>
              <w:adjustRightInd w:val="0"/>
              <w:snapToGrid w:val="0"/>
              <w:jc w:val="center"/>
              <w:rPr>
                <w:rFonts w:ascii="宋体" w:hAnsi="宋体" w:cs="宋体"/>
                <w:color w:val="auto"/>
              </w:rPr>
            </w:pPr>
            <w:r>
              <w:rPr>
                <w:rFonts w:hint="eastAsia" w:ascii="宋体" w:hAnsi="宋体" w:cs="宋体"/>
                <w:color w:val="auto"/>
              </w:rPr>
              <w:t>环境</w:t>
            </w:r>
          </w:p>
          <w:p w14:paraId="3788BF99">
            <w:pPr>
              <w:adjustRightInd w:val="0"/>
              <w:snapToGrid w:val="0"/>
              <w:jc w:val="center"/>
              <w:rPr>
                <w:rFonts w:ascii="宋体" w:hAnsi="宋体" w:cs="宋体"/>
                <w:color w:val="auto"/>
              </w:rPr>
            </w:pPr>
            <w:r>
              <w:rPr>
                <w:rFonts w:hint="eastAsia" w:ascii="宋体" w:hAnsi="宋体" w:cs="宋体"/>
                <w:color w:val="auto"/>
              </w:rPr>
              <w:t>保护</w:t>
            </w:r>
          </w:p>
          <w:p w14:paraId="665B7E6F">
            <w:pPr>
              <w:adjustRightInd w:val="0"/>
              <w:snapToGrid w:val="0"/>
              <w:jc w:val="center"/>
              <w:rPr>
                <w:rFonts w:ascii="宋体" w:hAnsi="宋体" w:cs="宋体"/>
                <w:color w:val="auto"/>
              </w:rPr>
            </w:pPr>
            <w:r>
              <w:rPr>
                <w:rFonts w:hint="eastAsia" w:ascii="宋体" w:hAnsi="宋体" w:cs="宋体"/>
                <w:color w:val="auto"/>
              </w:rPr>
              <w:t>目标</w:t>
            </w:r>
          </w:p>
        </w:tc>
        <w:tc>
          <w:tcPr>
            <w:tcW w:w="8190" w:type="dxa"/>
            <w:vAlign w:val="center"/>
          </w:tcPr>
          <w:p w14:paraId="38E3A082">
            <w:pPr>
              <w:adjustRightInd w:val="0"/>
              <w:snapToGrid w:val="0"/>
              <w:spacing w:beforeLines="50" w:line="336" w:lineRule="auto"/>
              <w:ind w:firstLine="482"/>
              <w:rPr>
                <w:rFonts w:cs="宋体" w:hAnsiTheme="minorHAnsi" w:eastAsiaTheme="minorEastAsia"/>
                <w:color w:val="auto"/>
              </w:rPr>
            </w:pPr>
            <w:r>
              <w:rPr>
                <w:rFonts w:hint="eastAsia" w:cs="宋体" w:hAnsiTheme="minorHAnsi" w:eastAsiaTheme="minorEastAsia"/>
                <w:color w:val="auto"/>
              </w:rPr>
              <w:t>本项目位于</w:t>
            </w:r>
            <w:r>
              <w:rPr>
                <w:rFonts w:hint="eastAsia" w:cs="宋体"/>
                <w:color w:val="auto"/>
              </w:rPr>
              <w:t>白山市江源区石人镇林子头村</w:t>
            </w:r>
            <w:r>
              <w:rPr>
                <w:rFonts w:hint="eastAsia"/>
                <w:color w:val="auto"/>
              </w:rPr>
              <w:t>，</w:t>
            </w:r>
            <w:r>
              <w:rPr>
                <w:rFonts w:hint="eastAsia" w:cs="宋体"/>
                <w:color w:val="auto"/>
              </w:rPr>
              <w:t>白山市江源区江山硅业有限责任公司现有厂区内</w:t>
            </w:r>
            <w:r>
              <w:rPr>
                <w:rFonts w:hint="eastAsia" w:cs="宋体" w:hAnsiTheme="minorHAnsi" w:eastAsiaTheme="minorEastAsia"/>
                <w:color w:val="auto"/>
              </w:rPr>
              <w:t>西南侧，用地性质为工业用地，厂界东侧为无名道路，隔路为山林地；南侧、北侧为耕地；西侧为山林地。项目厂界100m范围内无村屯，距离厂界最近的敏感目标为</w:t>
            </w:r>
            <w:r>
              <w:rPr>
                <w:rFonts w:hint="eastAsia"/>
                <w:color w:val="auto"/>
              </w:rPr>
              <w:t>西北</w:t>
            </w:r>
            <w:r>
              <w:rPr>
                <w:color w:val="auto"/>
              </w:rPr>
              <w:t>侧约</w:t>
            </w:r>
            <w:r>
              <w:rPr>
                <w:rFonts w:hint="eastAsia"/>
                <w:color w:val="auto"/>
              </w:rPr>
              <w:t>211</w:t>
            </w:r>
            <w:r>
              <w:rPr>
                <w:color w:val="auto"/>
              </w:rPr>
              <w:t>m处的</w:t>
            </w:r>
            <w:r>
              <w:rPr>
                <w:rFonts w:hint="eastAsia"/>
                <w:color w:val="auto"/>
              </w:rPr>
              <w:t>铁桥屯</w:t>
            </w:r>
            <w:r>
              <w:rPr>
                <w:rFonts w:hint="eastAsia" w:cs="宋体" w:hAnsiTheme="minorHAnsi" w:eastAsiaTheme="minorEastAsia"/>
                <w:color w:val="auto"/>
              </w:rPr>
              <w:t>。</w:t>
            </w:r>
          </w:p>
          <w:p w14:paraId="31571DB3">
            <w:pPr>
              <w:pStyle w:val="80"/>
              <w:ind w:firstLine="420"/>
              <w:rPr>
                <w:color w:val="auto"/>
              </w:rPr>
            </w:pPr>
            <w:r>
              <w:rPr>
                <w:rFonts w:hint="eastAsia"/>
                <w:color w:val="auto"/>
              </w:rPr>
              <w:t>根据《建设项目环境影响报告表编制技术指南（污染影响类）》（试行），环境保护目标：</w:t>
            </w:r>
          </w:p>
          <w:p w14:paraId="3C18D3AA">
            <w:pPr>
              <w:pStyle w:val="80"/>
              <w:ind w:firstLine="420"/>
              <w:rPr>
                <w:color w:val="auto"/>
              </w:rPr>
            </w:pPr>
            <w:r>
              <w:rPr>
                <w:rFonts w:hint="eastAsia"/>
                <w:color w:val="auto"/>
              </w:rPr>
              <w:t>大气环境。明确厂界外5</w:t>
            </w:r>
            <w:r>
              <w:rPr>
                <w:color w:val="auto"/>
              </w:rPr>
              <w:t>00</w:t>
            </w:r>
            <w:r>
              <w:rPr>
                <w:rFonts w:hint="eastAsia"/>
                <w:color w:val="auto"/>
              </w:rPr>
              <w:t>m范围内的自然保护区、风景名胜区、居住区、文化区和农村地区中人群较集中的区域等保护目标的名称及与建设项目厂界位置关系。</w:t>
            </w:r>
          </w:p>
          <w:p w14:paraId="4E1092D2">
            <w:pPr>
              <w:pStyle w:val="80"/>
              <w:ind w:firstLine="420"/>
              <w:rPr>
                <w:color w:val="auto"/>
                <w:highlight w:val="yellow"/>
              </w:rPr>
            </w:pPr>
            <w:r>
              <w:rPr>
                <w:rFonts w:hint="eastAsia"/>
                <w:color w:val="auto"/>
              </w:rPr>
              <w:t>项目所在地厂界外5</w:t>
            </w:r>
            <w:r>
              <w:rPr>
                <w:color w:val="auto"/>
              </w:rPr>
              <w:t>00</w:t>
            </w:r>
            <w:r>
              <w:rPr>
                <w:rFonts w:hint="eastAsia"/>
                <w:color w:val="auto"/>
              </w:rPr>
              <w:t>m范围内，不存在自然保护区、风景名胜区、文化区、文化区，但是存在农村地区中人群较集中的区域，铁桥屯（距离本项目边界211m，位于项目西北侧，约19户）。</w:t>
            </w:r>
          </w:p>
          <w:p w14:paraId="554CD9C9">
            <w:pPr>
              <w:pStyle w:val="80"/>
              <w:ind w:firstLine="420"/>
              <w:rPr>
                <w:color w:val="auto"/>
              </w:rPr>
            </w:pPr>
            <w:r>
              <w:rPr>
                <w:rFonts w:hint="eastAsia"/>
                <w:color w:val="auto"/>
              </w:rPr>
              <w:t>声环境。明确厂界外5</w:t>
            </w:r>
            <w:r>
              <w:rPr>
                <w:color w:val="auto"/>
              </w:rPr>
              <w:t>0</w:t>
            </w:r>
            <w:r>
              <w:rPr>
                <w:rFonts w:hint="eastAsia"/>
                <w:color w:val="auto"/>
              </w:rPr>
              <w:t>m范围内声环境保护目标；项目厂界外5</w:t>
            </w:r>
            <w:r>
              <w:rPr>
                <w:color w:val="auto"/>
              </w:rPr>
              <w:t>0</w:t>
            </w:r>
            <w:r>
              <w:rPr>
                <w:rFonts w:hint="eastAsia"/>
                <w:color w:val="auto"/>
              </w:rPr>
              <w:t>m范围内不存在声环境保护目标。</w:t>
            </w:r>
          </w:p>
          <w:p w14:paraId="5C7BA915">
            <w:pPr>
              <w:pStyle w:val="80"/>
              <w:ind w:firstLine="420"/>
              <w:rPr>
                <w:color w:val="auto"/>
              </w:rPr>
            </w:pPr>
            <w:r>
              <w:rPr>
                <w:rFonts w:hint="eastAsia"/>
                <w:color w:val="auto"/>
              </w:rPr>
              <w:t>地下水环境。明确厂界外500m范围内的地下水集中式饮用水水源和热水、矿泉水、温泉等特殊地下水资源。</w:t>
            </w:r>
          </w:p>
          <w:p w14:paraId="4E9185E2">
            <w:pPr>
              <w:pStyle w:val="80"/>
              <w:ind w:firstLine="420"/>
              <w:rPr>
                <w:color w:val="auto"/>
              </w:rPr>
            </w:pPr>
            <w:r>
              <w:rPr>
                <w:rFonts w:hint="eastAsia"/>
                <w:color w:val="auto"/>
              </w:rPr>
              <w:t>项目场界外500m范围内无热水、矿泉水、温泉等特殊地下水资源，村屯均实现集中供水，不存在地下水集中、分散式饮用水源。</w:t>
            </w:r>
          </w:p>
          <w:p w14:paraId="1C100426">
            <w:pPr>
              <w:pStyle w:val="80"/>
              <w:ind w:firstLine="420"/>
              <w:rPr>
                <w:color w:val="auto"/>
              </w:rPr>
            </w:pPr>
            <w:r>
              <w:rPr>
                <w:rFonts w:hint="eastAsia"/>
                <w:color w:val="auto"/>
              </w:rPr>
              <w:t>生态环境。产业园区外建设项目新增用地的，应明确新增用地范围内生态环境保护目标。</w:t>
            </w:r>
          </w:p>
          <w:p w14:paraId="64665DAE">
            <w:pPr>
              <w:pStyle w:val="80"/>
              <w:ind w:firstLine="420"/>
              <w:rPr>
                <w:color w:val="auto"/>
              </w:rPr>
            </w:pPr>
            <w:r>
              <w:rPr>
                <w:rFonts w:hint="eastAsia"/>
                <w:color w:val="auto"/>
              </w:rPr>
              <w:t>本项目租用已经建好的建筑物进行生产，不存在受项目影响的重要物种、生态敏感区以及其他需要保护的物种、种群、生态群落及生态空间。</w:t>
            </w:r>
          </w:p>
          <w:p w14:paraId="39A9F1F3">
            <w:pPr>
              <w:pStyle w:val="80"/>
              <w:spacing w:line="240" w:lineRule="auto"/>
              <w:ind w:firstLine="420"/>
              <w:rPr>
                <w:rFonts w:ascii="宋体" w:hAnsi="宋体"/>
                <w:color w:val="auto"/>
              </w:rPr>
            </w:pPr>
          </w:p>
        </w:tc>
      </w:tr>
      <w:tr w14:paraId="12FF0D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8" w:hRule="atLeast"/>
          <w:jc w:val="center"/>
        </w:trPr>
        <w:tc>
          <w:tcPr>
            <w:tcW w:w="800" w:type="dxa"/>
            <w:tcMar>
              <w:left w:w="28" w:type="dxa"/>
              <w:right w:w="28" w:type="dxa"/>
            </w:tcMar>
            <w:vAlign w:val="center"/>
          </w:tcPr>
          <w:p w14:paraId="47C03F15">
            <w:pPr>
              <w:adjustRightInd w:val="0"/>
              <w:snapToGrid w:val="0"/>
              <w:jc w:val="center"/>
              <w:rPr>
                <w:rFonts w:ascii="宋体" w:hAnsi="宋体" w:cs="宋体"/>
                <w:color w:val="auto"/>
              </w:rPr>
            </w:pPr>
            <w:r>
              <w:rPr>
                <w:rFonts w:hint="eastAsia" w:ascii="宋体" w:hAnsi="宋体" w:cs="宋体"/>
                <w:color w:val="auto"/>
              </w:rPr>
              <w:t>污染</w:t>
            </w:r>
          </w:p>
          <w:p w14:paraId="55616467">
            <w:pPr>
              <w:adjustRightInd w:val="0"/>
              <w:snapToGrid w:val="0"/>
              <w:jc w:val="center"/>
              <w:rPr>
                <w:rFonts w:ascii="宋体" w:hAnsi="宋体" w:cs="宋体"/>
                <w:color w:val="auto"/>
              </w:rPr>
            </w:pPr>
            <w:r>
              <w:rPr>
                <w:rFonts w:hint="eastAsia" w:ascii="宋体" w:hAnsi="宋体" w:cs="宋体"/>
                <w:color w:val="auto"/>
              </w:rPr>
              <w:t>物排</w:t>
            </w:r>
          </w:p>
          <w:p w14:paraId="25EFE188">
            <w:pPr>
              <w:adjustRightInd w:val="0"/>
              <w:snapToGrid w:val="0"/>
              <w:jc w:val="center"/>
              <w:rPr>
                <w:rFonts w:ascii="宋体" w:hAnsi="宋体" w:cs="宋体"/>
                <w:color w:val="auto"/>
              </w:rPr>
            </w:pPr>
            <w:r>
              <w:rPr>
                <w:rFonts w:hint="eastAsia" w:ascii="宋体" w:hAnsi="宋体" w:cs="宋体"/>
                <w:color w:val="auto"/>
              </w:rPr>
              <w:t>放控</w:t>
            </w:r>
          </w:p>
          <w:p w14:paraId="25DCE32F">
            <w:pPr>
              <w:adjustRightInd w:val="0"/>
              <w:snapToGrid w:val="0"/>
              <w:jc w:val="center"/>
              <w:rPr>
                <w:rFonts w:ascii="宋体" w:hAnsi="宋体" w:cs="宋体"/>
                <w:color w:val="auto"/>
              </w:rPr>
            </w:pPr>
            <w:r>
              <w:rPr>
                <w:rFonts w:hint="eastAsia" w:ascii="宋体" w:hAnsi="宋体" w:cs="宋体"/>
                <w:color w:val="auto"/>
              </w:rPr>
              <w:t>制标</w:t>
            </w:r>
          </w:p>
          <w:p w14:paraId="55868824">
            <w:pPr>
              <w:adjustRightInd w:val="0"/>
              <w:snapToGrid w:val="0"/>
              <w:jc w:val="center"/>
              <w:rPr>
                <w:rFonts w:ascii="宋体" w:hAnsi="宋体" w:cs="宋体"/>
                <w:color w:val="auto"/>
              </w:rPr>
            </w:pPr>
            <w:r>
              <w:rPr>
                <w:rFonts w:hint="eastAsia" w:ascii="宋体" w:hAnsi="宋体" w:cs="宋体"/>
                <w:color w:val="auto"/>
              </w:rPr>
              <w:t>准</w:t>
            </w:r>
          </w:p>
        </w:tc>
        <w:tc>
          <w:tcPr>
            <w:tcW w:w="8190" w:type="dxa"/>
            <w:vAlign w:val="center"/>
          </w:tcPr>
          <w:p w14:paraId="2B66987B">
            <w:pPr>
              <w:adjustRightInd w:val="0"/>
              <w:snapToGrid w:val="0"/>
              <w:spacing w:beforeLines="50" w:line="336" w:lineRule="auto"/>
              <w:jc w:val="left"/>
              <w:rPr>
                <w:color w:val="auto"/>
                <w:spacing w:val="-10"/>
              </w:rPr>
            </w:pPr>
            <w:r>
              <w:rPr>
                <w:color w:val="auto"/>
                <w:spacing w:val="-10"/>
              </w:rPr>
              <w:t>1、废气</w:t>
            </w:r>
          </w:p>
          <w:p w14:paraId="4A0C63AA">
            <w:pPr>
              <w:adjustRightInd w:val="0"/>
              <w:snapToGrid w:val="0"/>
              <w:spacing w:line="360" w:lineRule="auto"/>
              <w:ind w:firstLine="420" w:firstLineChars="200"/>
              <w:rPr>
                <w:i/>
                <w:iCs/>
                <w:color w:val="auto"/>
                <w:u w:val="single"/>
              </w:rPr>
            </w:pPr>
            <w:r>
              <w:rPr>
                <w:rFonts w:hint="eastAsia"/>
                <w:color w:val="auto"/>
              </w:rPr>
              <w:t>项目生产过程中产生的粉尘执行</w:t>
            </w:r>
            <w:r>
              <w:rPr>
                <w:color w:val="auto"/>
              </w:rPr>
              <w:t>《大气污染物综合排放标准》（GB16297-1996）</w:t>
            </w:r>
            <w:r>
              <w:rPr>
                <w:rFonts w:hint="eastAsia"/>
                <w:color w:val="auto"/>
              </w:rPr>
              <w:t>中排放</w:t>
            </w:r>
            <w:r>
              <w:rPr>
                <w:color w:val="auto"/>
              </w:rPr>
              <w:t>浓度限值</w:t>
            </w:r>
            <w:r>
              <w:rPr>
                <w:rFonts w:hint="eastAsia"/>
                <w:color w:val="auto"/>
              </w:rPr>
              <w:t>要求</w:t>
            </w:r>
            <w:r>
              <w:rPr>
                <w:color w:val="auto"/>
              </w:rPr>
              <w:t>。</w:t>
            </w:r>
          </w:p>
          <w:p w14:paraId="05CB0645">
            <w:pPr>
              <w:pStyle w:val="78"/>
              <w:spacing w:line="240" w:lineRule="auto"/>
              <w:rPr>
                <w:b w:val="0"/>
                <w:bCs/>
                <w:i/>
                <w:iCs/>
                <w:color w:val="auto"/>
                <w:sz w:val="21"/>
                <w:u w:val="single"/>
              </w:rPr>
            </w:pPr>
            <w:r>
              <w:rPr>
                <w:rFonts w:hint="eastAsia"/>
                <w:b w:val="0"/>
                <w:bCs/>
                <w:i/>
                <w:iCs/>
                <w:color w:val="auto"/>
                <w:sz w:val="21"/>
                <w:u w:val="single"/>
              </w:rPr>
              <w:t>大气污染物综合排放标准</w:t>
            </w:r>
          </w:p>
          <w:tbl>
            <w:tblPr>
              <w:tblStyle w:val="2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1704"/>
              <w:gridCol w:w="1160"/>
              <w:gridCol w:w="1310"/>
              <w:gridCol w:w="1662"/>
              <w:gridCol w:w="1053"/>
            </w:tblGrid>
            <w:tr w14:paraId="701E0A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80" w:type="pct"/>
                  <w:vMerge w:val="restart"/>
                  <w:noWrap/>
                  <w:vAlign w:val="center"/>
                </w:tcPr>
                <w:p w14:paraId="7E0AE968">
                  <w:pPr>
                    <w:autoSpaceDE w:val="0"/>
                    <w:autoSpaceDN w:val="0"/>
                    <w:adjustRightInd w:val="0"/>
                    <w:jc w:val="center"/>
                    <w:rPr>
                      <w:i/>
                      <w:iCs/>
                      <w:color w:val="auto"/>
                      <w:sz w:val="18"/>
                      <w:szCs w:val="18"/>
                      <w:u w:val="single"/>
                      <w:lang w:val="zh-CN"/>
                    </w:rPr>
                  </w:pPr>
                  <w:r>
                    <w:rPr>
                      <w:rFonts w:hAnsi="宋体"/>
                      <w:i/>
                      <w:iCs/>
                      <w:color w:val="auto"/>
                      <w:sz w:val="18"/>
                      <w:szCs w:val="18"/>
                      <w:u w:val="single"/>
                      <w:lang w:val="zh-CN"/>
                    </w:rPr>
                    <w:t>污染物</w:t>
                  </w:r>
                </w:p>
              </w:tc>
              <w:tc>
                <w:tcPr>
                  <w:tcW w:w="1068" w:type="pct"/>
                  <w:vMerge w:val="restart"/>
                  <w:noWrap/>
                  <w:vAlign w:val="center"/>
                </w:tcPr>
                <w:p w14:paraId="6FBAAA7A">
                  <w:pPr>
                    <w:autoSpaceDE w:val="0"/>
                    <w:autoSpaceDN w:val="0"/>
                    <w:adjustRightInd w:val="0"/>
                    <w:jc w:val="center"/>
                    <w:rPr>
                      <w:rFonts w:hAnsi="宋体"/>
                      <w:i/>
                      <w:iCs/>
                      <w:color w:val="auto"/>
                      <w:sz w:val="18"/>
                      <w:szCs w:val="18"/>
                      <w:u w:val="single"/>
                      <w:lang w:val="zh-CN"/>
                    </w:rPr>
                  </w:pPr>
                  <w:r>
                    <w:rPr>
                      <w:rFonts w:hAnsi="宋体"/>
                      <w:i/>
                      <w:iCs/>
                      <w:color w:val="auto"/>
                      <w:sz w:val="18"/>
                      <w:szCs w:val="18"/>
                      <w:u w:val="single"/>
                      <w:lang w:val="zh-CN"/>
                    </w:rPr>
                    <w:t>最高允许排放浓度（</w:t>
                  </w:r>
                  <w:r>
                    <w:rPr>
                      <w:i/>
                      <w:iCs/>
                      <w:color w:val="auto"/>
                      <w:sz w:val="18"/>
                      <w:szCs w:val="18"/>
                      <w:u w:val="single"/>
                      <w:lang w:val="zh-CN"/>
                    </w:rPr>
                    <w:t>mg/m</w:t>
                  </w:r>
                  <w:r>
                    <w:rPr>
                      <w:i/>
                      <w:iCs/>
                      <w:color w:val="auto"/>
                      <w:sz w:val="18"/>
                      <w:szCs w:val="18"/>
                      <w:u w:val="single"/>
                      <w:vertAlign w:val="superscript"/>
                      <w:lang w:val="zh-CN"/>
                    </w:rPr>
                    <w:t>3</w:t>
                  </w:r>
                  <w:r>
                    <w:rPr>
                      <w:rFonts w:hAnsi="宋体"/>
                      <w:i/>
                      <w:iCs/>
                      <w:color w:val="auto"/>
                      <w:sz w:val="18"/>
                      <w:szCs w:val="18"/>
                      <w:u w:val="single"/>
                      <w:lang w:val="zh-CN"/>
                    </w:rPr>
                    <w:t>）</w:t>
                  </w:r>
                </w:p>
              </w:tc>
              <w:tc>
                <w:tcPr>
                  <w:tcW w:w="1548" w:type="pct"/>
                  <w:gridSpan w:val="2"/>
                  <w:noWrap/>
                  <w:vAlign w:val="center"/>
                </w:tcPr>
                <w:p w14:paraId="41EF0A35">
                  <w:pPr>
                    <w:autoSpaceDE w:val="0"/>
                    <w:autoSpaceDN w:val="0"/>
                    <w:adjustRightInd w:val="0"/>
                    <w:jc w:val="center"/>
                    <w:rPr>
                      <w:rFonts w:hAnsi="宋体"/>
                      <w:i/>
                      <w:iCs/>
                      <w:color w:val="auto"/>
                      <w:sz w:val="18"/>
                      <w:szCs w:val="18"/>
                      <w:u w:val="single"/>
                      <w:lang w:val="zh-CN"/>
                    </w:rPr>
                  </w:pPr>
                  <w:r>
                    <w:rPr>
                      <w:rFonts w:hAnsi="宋体"/>
                      <w:i/>
                      <w:iCs/>
                      <w:color w:val="auto"/>
                      <w:sz w:val="18"/>
                      <w:szCs w:val="18"/>
                      <w:u w:val="single"/>
                      <w:lang w:val="zh-CN"/>
                    </w:rPr>
                    <w:t>新污染源</w:t>
                  </w:r>
                </w:p>
              </w:tc>
              <w:tc>
                <w:tcPr>
                  <w:tcW w:w="1702" w:type="pct"/>
                  <w:gridSpan w:val="2"/>
                  <w:noWrap/>
                  <w:vAlign w:val="center"/>
                </w:tcPr>
                <w:p w14:paraId="2F298088">
                  <w:pPr>
                    <w:autoSpaceDE w:val="0"/>
                    <w:autoSpaceDN w:val="0"/>
                    <w:adjustRightInd w:val="0"/>
                    <w:jc w:val="center"/>
                    <w:rPr>
                      <w:i/>
                      <w:iCs/>
                      <w:color w:val="auto"/>
                      <w:sz w:val="18"/>
                      <w:szCs w:val="18"/>
                      <w:u w:val="single"/>
                      <w:lang w:val="zh-CN"/>
                    </w:rPr>
                  </w:pPr>
                  <w:r>
                    <w:rPr>
                      <w:rFonts w:hAnsi="宋体"/>
                      <w:i/>
                      <w:iCs/>
                      <w:color w:val="auto"/>
                      <w:sz w:val="18"/>
                      <w:szCs w:val="18"/>
                      <w:u w:val="single"/>
                      <w:lang w:val="zh-CN"/>
                    </w:rPr>
                    <w:t>无组织排放浓度监控限值</w:t>
                  </w:r>
                </w:p>
              </w:tc>
            </w:tr>
            <w:tr w14:paraId="4A2C4D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80" w:type="pct"/>
                  <w:vMerge w:val="continue"/>
                  <w:noWrap/>
                  <w:vAlign w:val="center"/>
                </w:tcPr>
                <w:p w14:paraId="43830B36">
                  <w:pPr>
                    <w:autoSpaceDE w:val="0"/>
                    <w:autoSpaceDN w:val="0"/>
                    <w:adjustRightInd w:val="0"/>
                    <w:jc w:val="center"/>
                    <w:rPr>
                      <w:i/>
                      <w:iCs/>
                      <w:color w:val="auto"/>
                      <w:sz w:val="18"/>
                      <w:szCs w:val="18"/>
                      <w:u w:val="single"/>
                      <w:lang w:val="zh-CN"/>
                    </w:rPr>
                  </w:pPr>
                </w:p>
              </w:tc>
              <w:tc>
                <w:tcPr>
                  <w:tcW w:w="1068" w:type="pct"/>
                  <w:vMerge w:val="continue"/>
                  <w:noWrap/>
                  <w:vAlign w:val="center"/>
                </w:tcPr>
                <w:p w14:paraId="3DEE19E2">
                  <w:pPr>
                    <w:autoSpaceDE w:val="0"/>
                    <w:autoSpaceDN w:val="0"/>
                    <w:adjustRightInd w:val="0"/>
                    <w:jc w:val="center"/>
                    <w:rPr>
                      <w:i/>
                      <w:iCs/>
                      <w:color w:val="auto"/>
                      <w:sz w:val="18"/>
                      <w:szCs w:val="18"/>
                      <w:u w:val="single"/>
                      <w:lang w:val="zh-CN"/>
                    </w:rPr>
                  </w:pPr>
                </w:p>
              </w:tc>
              <w:tc>
                <w:tcPr>
                  <w:tcW w:w="727" w:type="pct"/>
                  <w:noWrap/>
                  <w:vAlign w:val="center"/>
                </w:tcPr>
                <w:p w14:paraId="3F0E36F2">
                  <w:pPr>
                    <w:autoSpaceDE w:val="0"/>
                    <w:autoSpaceDN w:val="0"/>
                    <w:adjustRightInd w:val="0"/>
                    <w:jc w:val="center"/>
                    <w:rPr>
                      <w:rFonts w:hAnsi="宋体"/>
                      <w:i/>
                      <w:iCs/>
                      <w:color w:val="auto"/>
                      <w:sz w:val="18"/>
                      <w:szCs w:val="18"/>
                      <w:u w:val="single"/>
                      <w:lang w:val="zh-CN"/>
                    </w:rPr>
                  </w:pPr>
                  <w:r>
                    <w:rPr>
                      <w:rFonts w:hAnsi="宋体"/>
                      <w:i/>
                      <w:iCs/>
                      <w:color w:val="auto"/>
                      <w:sz w:val="18"/>
                      <w:szCs w:val="18"/>
                      <w:u w:val="single"/>
                      <w:lang w:val="zh-CN"/>
                    </w:rPr>
                    <w:t>排气筒（m）</w:t>
                  </w:r>
                </w:p>
              </w:tc>
              <w:tc>
                <w:tcPr>
                  <w:tcW w:w="820" w:type="pct"/>
                  <w:noWrap/>
                  <w:vAlign w:val="center"/>
                </w:tcPr>
                <w:p w14:paraId="772A3747">
                  <w:pPr>
                    <w:autoSpaceDE w:val="0"/>
                    <w:autoSpaceDN w:val="0"/>
                    <w:adjustRightInd w:val="0"/>
                    <w:jc w:val="center"/>
                    <w:rPr>
                      <w:rFonts w:hAnsi="宋体"/>
                      <w:i/>
                      <w:iCs/>
                      <w:color w:val="auto"/>
                      <w:sz w:val="18"/>
                      <w:szCs w:val="18"/>
                      <w:u w:val="single"/>
                      <w:lang w:val="zh-CN"/>
                    </w:rPr>
                  </w:pPr>
                  <w:r>
                    <w:rPr>
                      <w:rFonts w:hAnsi="宋体"/>
                      <w:i/>
                      <w:iCs/>
                      <w:color w:val="auto"/>
                      <w:sz w:val="18"/>
                      <w:szCs w:val="18"/>
                      <w:u w:val="single"/>
                      <w:lang w:val="zh-CN"/>
                    </w:rPr>
                    <w:t>二级标准最高允许排放</w:t>
                  </w:r>
                  <w:r>
                    <w:rPr>
                      <w:rFonts w:hint="eastAsia" w:hAnsi="宋体"/>
                      <w:i/>
                      <w:iCs/>
                      <w:color w:val="auto"/>
                      <w:sz w:val="18"/>
                      <w:szCs w:val="18"/>
                      <w:u w:val="single"/>
                    </w:rPr>
                    <w:t>速率（</w:t>
                  </w:r>
                  <w:r>
                    <w:rPr>
                      <w:rFonts w:hAnsi="宋体"/>
                      <w:i/>
                      <w:iCs/>
                      <w:color w:val="auto"/>
                      <w:sz w:val="18"/>
                      <w:szCs w:val="18"/>
                      <w:u w:val="single"/>
                      <w:lang w:val="zh-CN"/>
                    </w:rPr>
                    <w:t>kg/h</w:t>
                  </w:r>
                  <w:r>
                    <w:rPr>
                      <w:rFonts w:hint="eastAsia" w:hAnsi="宋体"/>
                      <w:i/>
                      <w:iCs/>
                      <w:color w:val="auto"/>
                      <w:sz w:val="18"/>
                      <w:szCs w:val="18"/>
                      <w:u w:val="single"/>
                    </w:rPr>
                    <w:t>）</w:t>
                  </w:r>
                </w:p>
              </w:tc>
              <w:tc>
                <w:tcPr>
                  <w:tcW w:w="1042" w:type="pct"/>
                  <w:noWrap/>
                  <w:vAlign w:val="center"/>
                </w:tcPr>
                <w:p w14:paraId="19337FC7">
                  <w:pPr>
                    <w:autoSpaceDE w:val="0"/>
                    <w:autoSpaceDN w:val="0"/>
                    <w:adjustRightInd w:val="0"/>
                    <w:jc w:val="center"/>
                    <w:rPr>
                      <w:i/>
                      <w:iCs/>
                      <w:color w:val="auto"/>
                      <w:sz w:val="18"/>
                      <w:szCs w:val="18"/>
                      <w:u w:val="single"/>
                      <w:lang w:val="zh-CN"/>
                    </w:rPr>
                  </w:pPr>
                  <w:r>
                    <w:rPr>
                      <w:rFonts w:hAnsi="宋体"/>
                      <w:i/>
                      <w:iCs/>
                      <w:color w:val="auto"/>
                      <w:sz w:val="18"/>
                      <w:szCs w:val="18"/>
                      <w:u w:val="single"/>
                      <w:lang w:val="zh-CN"/>
                    </w:rPr>
                    <w:t>监控点</w:t>
                  </w:r>
                </w:p>
              </w:tc>
              <w:tc>
                <w:tcPr>
                  <w:tcW w:w="659" w:type="pct"/>
                  <w:noWrap/>
                  <w:vAlign w:val="center"/>
                </w:tcPr>
                <w:p w14:paraId="0A1ECC08">
                  <w:pPr>
                    <w:autoSpaceDE w:val="0"/>
                    <w:autoSpaceDN w:val="0"/>
                    <w:adjustRightInd w:val="0"/>
                    <w:jc w:val="center"/>
                    <w:rPr>
                      <w:i/>
                      <w:iCs/>
                      <w:color w:val="auto"/>
                      <w:sz w:val="18"/>
                      <w:szCs w:val="18"/>
                      <w:u w:val="single"/>
                      <w:lang w:val="zh-CN"/>
                    </w:rPr>
                  </w:pPr>
                  <w:r>
                    <w:rPr>
                      <w:rFonts w:hAnsi="宋体"/>
                      <w:i/>
                      <w:iCs/>
                      <w:color w:val="auto"/>
                      <w:sz w:val="18"/>
                      <w:szCs w:val="18"/>
                      <w:u w:val="single"/>
                      <w:lang w:val="zh-CN"/>
                    </w:rPr>
                    <w:t>浓度（</w:t>
                  </w:r>
                  <w:r>
                    <w:rPr>
                      <w:i/>
                      <w:iCs/>
                      <w:color w:val="auto"/>
                      <w:sz w:val="18"/>
                      <w:szCs w:val="18"/>
                      <w:u w:val="single"/>
                      <w:lang w:val="zh-CN"/>
                    </w:rPr>
                    <w:t>mg/m</w:t>
                  </w:r>
                  <w:r>
                    <w:rPr>
                      <w:i/>
                      <w:iCs/>
                      <w:color w:val="auto"/>
                      <w:sz w:val="18"/>
                      <w:szCs w:val="18"/>
                      <w:u w:val="single"/>
                      <w:vertAlign w:val="superscript"/>
                      <w:lang w:val="zh-CN"/>
                    </w:rPr>
                    <w:t>3</w:t>
                  </w:r>
                  <w:r>
                    <w:rPr>
                      <w:rFonts w:hAnsi="宋体"/>
                      <w:i/>
                      <w:iCs/>
                      <w:color w:val="auto"/>
                      <w:sz w:val="18"/>
                      <w:szCs w:val="18"/>
                      <w:u w:val="single"/>
                      <w:lang w:val="zh-CN"/>
                    </w:rPr>
                    <w:t>）</w:t>
                  </w:r>
                </w:p>
              </w:tc>
            </w:tr>
            <w:tr w14:paraId="6C6BA2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680" w:type="pct"/>
                  <w:noWrap/>
                  <w:vAlign w:val="center"/>
                </w:tcPr>
                <w:p w14:paraId="48B55973">
                  <w:pPr>
                    <w:autoSpaceDE w:val="0"/>
                    <w:autoSpaceDN w:val="0"/>
                    <w:adjustRightInd w:val="0"/>
                    <w:jc w:val="center"/>
                    <w:rPr>
                      <w:i/>
                      <w:iCs/>
                      <w:color w:val="auto"/>
                      <w:sz w:val="18"/>
                      <w:szCs w:val="18"/>
                      <w:u w:val="single"/>
                      <w:lang w:val="zh-CN"/>
                    </w:rPr>
                  </w:pPr>
                  <w:r>
                    <w:rPr>
                      <w:i/>
                      <w:iCs/>
                      <w:color w:val="auto"/>
                      <w:sz w:val="18"/>
                      <w:szCs w:val="18"/>
                      <w:u w:val="single"/>
                      <w:lang w:val="zh-CN"/>
                    </w:rPr>
                    <w:t>颗粒物</w:t>
                  </w:r>
                </w:p>
              </w:tc>
              <w:tc>
                <w:tcPr>
                  <w:tcW w:w="1068" w:type="pct"/>
                  <w:noWrap/>
                  <w:vAlign w:val="center"/>
                </w:tcPr>
                <w:p w14:paraId="2EAD869A">
                  <w:pPr>
                    <w:autoSpaceDE w:val="0"/>
                    <w:autoSpaceDN w:val="0"/>
                    <w:adjustRightInd w:val="0"/>
                    <w:jc w:val="center"/>
                    <w:rPr>
                      <w:i/>
                      <w:iCs/>
                      <w:color w:val="auto"/>
                      <w:sz w:val="18"/>
                      <w:szCs w:val="18"/>
                      <w:u w:val="single"/>
                    </w:rPr>
                  </w:pPr>
                  <w:r>
                    <w:rPr>
                      <w:rFonts w:hint="eastAsia"/>
                      <w:i/>
                      <w:iCs/>
                      <w:color w:val="auto"/>
                      <w:sz w:val="18"/>
                      <w:szCs w:val="18"/>
                      <w:u w:val="single"/>
                    </w:rPr>
                    <w:t>120</w:t>
                  </w:r>
                </w:p>
              </w:tc>
              <w:tc>
                <w:tcPr>
                  <w:tcW w:w="727" w:type="pct"/>
                  <w:noWrap/>
                  <w:vAlign w:val="center"/>
                </w:tcPr>
                <w:p w14:paraId="13203E23">
                  <w:pPr>
                    <w:autoSpaceDE w:val="0"/>
                    <w:autoSpaceDN w:val="0"/>
                    <w:adjustRightInd w:val="0"/>
                    <w:jc w:val="center"/>
                    <w:rPr>
                      <w:i/>
                      <w:iCs/>
                      <w:color w:val="auto"/>
                      <w:sz w:val="18"/>
                      <w:szCs w:val="18"/>
                      <w:u w:val="single"/>
                    </w:rPr>
                  </w:pPr>
                  <w:r>
                    <w:rPr>
                      <w:rFonts w:hint="eastAsia"/>
                      <w:i/>
                      <w:iCs/>
                      <w:color w:val="auto"/>
                      <w:sz w:val="18"/>
                      <w:szCs w:val="18"/>
                      <w:u w:val="single"/>
                    </w:rPr>
                    <w:t>15</w:t>
                  </w:r>
                </w:p>
              </w:tc>
              <w:tc>
                <w:tcPr>
                  <w:tcW w:w="820" w:type="pct"/>
                  <w:noWrap/>
                  <w:vAlign w:val="center"/>
                </w:tcPr>
                <w:p w14:paraId="3A78C698">
                  <w:pPr>
                    <w:autoSpaceDE w:val="0"/>
                    <w:autoSpaceDN w:val="0"/>
                    <w:adjustRightInd w:val="0"/>
                    <w:jc w:val="center"/>
                    <w:rPr>
                      <w:i/>
                      <w:iCs/>
                      <w:color w:val="auto"/>
                      <w:sz w:val="18"/>
                      <w:szCs w:val="18"/>
                      <w:u w:val="single"/>
                    </w:rPr>
                  </w:pPr>
                  <w:r>
                    <w:rPr>
                      <w:rFonts w:hint="eastAsia"/>
                      <w:i/>
                      <w:iCs/>
                      <w:color w:val="auto"/>
                      <w:sz w:val="18"/>
                      <w:szCs w:val="18"/>
                      <w:u w:val="single"/>
                    </w:rPr>
                    <w:t>3.5</w:t>
                  </w:r>
                </w:p>
              </w:tc>
              <w:tc>
                <w:tcPr>
                  <w:tcW w:w="1042" w:type="pct"/>
                  <w:noWrap/>
                  <w:vAlign w:val="center"/>
                </w:tcPr>
                <w:p w14:paraId="58E00710">
                  <w:pPr>
                    <w:autoSpaceDE w:val="0"/>
                    <w:autoSpaceDN w:val="0"/>
                    <w:adjustRightInd w:val="0"/>
                    <w:jc w:val="center"/>
                    <w:rPr>
                      <w:i/>
                      <w:iCs/>
                      <w:color w:val="auto"/>
                      <w:sz w:val="18"/>
                      <w:szCs w:val="18"/>
                      <w:u w:val="single"/>
                      <w:lang w:val="zh-CN"/>
                    </w:rPr>
                  </w:pPr>
                  <w:r>
                    <w:rPr>
                      <w:rFonts w:hAnsi="宋体"/>
                      <w:i/>
                      <w:iCs/>
                      <w:color w:val="auto"/>
                      <w:sz w:val="18"/>
                      <w:szCs w:val="18"/>
                      <w:u w:val="single"/>
                      <w:lang w:val="zh-CN"/>
                    </w:rPr>
                    <w:t>周界外浓度最高点</w:t>
                  </w:r>
                </w:p>
              </w:tc>
              <w:tc>
                <w:tcPr>
                  <w:tcW w:w="659" w:type="pct"/>
                  <w:noWrap/>
                  <w:vAlign w:val="center"/>
                </w:tcPr>
                <w:p w14:paraId="424F2A05">
                  <w:pPr>
                    <w:autoSpaceDE w:val="0"/>
                    <w:autoSpaceDN w:val="0"/>
                    <w:adjustRightInd w:val="0"/>
                    <w:jc w:val="center"/>
                    <w:rPr>
                      <w:i/>
                      <w:iCs/>
                      <w:color w:val="auto"/>
                      <w:sz w:val="18"/>
                      <w:szCs w:val="18"/>
                      <w:u w:val="single"/>
                      <w:lang w:val="zh-CN"/>
                    </w:rPr>
                  </w:pPr>
                  <w:r>
                    <w:rPr>
                      <w:rFonts w:hint="eastAsia"/>
                      <w:i/>
                      <w:iCs/>
                      <w:color w:val="auto"/>
                      <w:sz w:val="18"/>
                      <w:szCs w:val="18"/>
                      <w:u w:val="single"/>
                      <w:lang w:val="zh-CN"/>
                    </w:rPr>
                    <w:t>1.0</w:t>
                  </w:r>
                </w:p>
              </w:tc>
            </w:tr>
          </w:tbl>
          <w:p w14:paraId="0E02D670">
            <w:pPr>
              <w:adjustRightInd w:val="0"/>
              <w:snapToGrid w:val="0"/>
              <w:spacing w:line="336" w:lineRule="auto"/>
              <w:jc w:val="left"/>
              <w:rPr>
                <w:rFonts w:hAnsi="宋体"/>
                <w:color w:val="auto"/>
                <w:sz w:val="10"/>
                <w:szCs w:val="10"/>
              </w:rPr>
            </w:pPr>
          </w:p>
          <w:p w14:paraId="09C6243D">
            <w:pPr>
              <w:adjustRightInd w:val="0"/>
              <w:snapToGrid w:val="0"/>
              <w:spacing w:line="336" w:lineRule="auto"/>
              <w:jc w:val="left"/>
              <w:rPr>
                <w:color w:val="auto"/>
              </w:rPr>
            </w:pPr>
            <w:r>
              <w:rPr>
                <w:rFonts w:hAnsi="宋体"/>
                <w:color w:val="auto"/>
              </w:rPr>
              <w:t>2、噪声</w:t>
            </w:r>
          </w:p>
          <w:p w14:paraId="77850FDE">
            <w:pPr>
              <w:adjustRightInd w:val="0"/>
              <w:snapToGrid w:val="0"/>
              <w:spacing w:line="348" w:lineRule="auto"/>
              <w:ind w:firstLine="482"/>
              <w:rPr>
                <w:rFonts w:ascii="宋体" w:hAnsi="宋体"/>
                <w:color w:val="auto"/>
              </w:rPr>
            </w:pPr>
            <w:r>
              <w:rPr>
                <w:rFonts w:hint="eastAsia" w:hAnsi="宋体"/>
                <w:color w:val="auto"/>
              </w:rPr>
              <w:t>项目厂界</w:t>
            </w:r>
            <w:r>
              <w:rPr>
                <w:rFonts w:hAnsi="宋体"/>
                <w:color w:val="auto"/>
              </w:rPr>
              <w:t>噪声排放限值</w:t>
            </w:r>
            <w:r>
              <w:rPr>
                <w:rFonts w:hint="eastAsia" w:hAnsi="宋体"/>
                <w:color w:val="auto"/>
              </w:rPr>
              <w:t>参照租赁厂区环评批复，执行</w:t>
            </w:r>
            <w:r>
              <w:rPr>
                <w:color w:val="auto"/>
              </w:rPr>
              <w:t>GB12348-2008</w:t>
            </w:r>
            <w:r>
              <w:rPr>
                <w:rFonts w:hAnsi="宋体"/>
                <w:color w:val="auto"/>
              </w:rPr>
              <w:t>《工业企业厂界环境噪声排放标准》中</w:t>
            </w:r>
            <w:r>
              <w:rPr>
                <w:rFonts w:hint="eastAsia"/>
                <w:color w:val="auto"/>
              </w:rPr>
              <w:t>2</w:t>
            </w:r>
            <w:r>
              <w:rPr>
                <w:rFonts w:hAnsi="宋体"/>
                <w:color w:val="auto"/>
              </w:rPr>
              <w:t>类区排放标准要求</w:t>
            </w:r>
            <w:r>
              <w:rPr>
                <w:rFonts w:hint="eastAsia" w:ascii="宋体" w:hAnsi="宋体"/>
                <w:color w:val="auto"/>
              </w:rPr>
              <w:t>。</w:t>
            </w:r>
          </w:p>
          <w:p w14:paraId="69419BE8">
            <w:pPr>
              <w:adjustRightInd w:val="0"/>
              <w:snapToGrid w:val="0"/>
              <w:jc w:val="center"/>
              <w:rPr>
                <w:color w:val="auto"/>
              </w:rPr>
            </w:pPr>
            <w:r>
              <w:rPr>
                <w:rFonts w:cs="宋体"/>
                <w:color w:val="auto"/>
                <w:lang w:val="zh-CN"/>
              </w:rPr>
              <w:t>工业企业厂界环境噪声排放标准</w:t>
            </w:r>
            <w:r>
              <w:rPr>
                <w:rFonts w:hint="eastAsia" w:cs="宋体"/>
                <w:color w:val="auto"/>
                <w:sz w:val="18"/>
                <w:szCs w:val="18"/>
              </w:rPr>
              <w:t>单位：</w:t>
            </w:r>
            <w:r>
              <w:rPr>
                <w:color w:val="auto"/>
                <w:sz w:val="18"/>
                <w:szCs w:val="18"/>
              </w:rPr>
              <w:t>dB(A)</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4"/>
              <w:gridCol w:w="1712"/>
              <w:gridCol w:w="1712"/>
            </w:tblGrid>
            <w:tr w14:paraId="75760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04" w:type="dxa"/>
                  <w:vMerge w:val="restart"/>
                  <w:tcBorders>
                    <w:top w:val="single" w:color="auto" w:sz="12" w:space="0"/>
                    <w:left w:val="single" w:color="FFFFFF" w:sz="4" w:space="0"/>
                    <w:bottom w:val="single" w:color="auto" w:sz="4" w:space="0"/>
                    <w:right w:val="single" w:color="auto" w:sz="4" w:space="0"/>
                  </w:tcBorders>
                  <w:vAlign w:val="center"/>
                </w:tcPr>
                <w:p w14:paraId="48BF182C">
                  <w:pPr>
                    <w:spacing w:line="260" w:lineRule="exact"/>
                    <w:jc w:val="center"/>
                    <w:rPr>
                      <w:color w:val="auto"/>
                      <w:sz w:val="18"/>
                      <w:szCs w:val="18"/>
                    </w:rPr>
                  </w:pPr>
                  <w:r>
                    <w:rPr>
                      <w:rFonts w:hint="eastAsia" w:cs="宋体"/>
                      <w:color w:val="auto"/>
                      <w:sz w:val="18"/>
                      <w:szCs w:val="18"/>
                    </w:rPr>
                    <w:t>厂界外声环境功能区类别</w:t>
                  </w:r>
                </w:p>
              </w:tc>
              <w:tc>
                <w:tcPr>
                  <w:tcW w:w="3424" w:type="dxa"/>
                  <w:gridSpan w:val="2"/>
                  <w:tcBorders>
                    <w:top w:val="single" w:color="auto" w:sz="12" w:space="0"/>
                    <w:left w:val="single" w:color="auto" w:sz="4" w:space="0"/>
                    <w:bottom w:val="single" w:color="auto" w:sz="4" w:space="0"/>
                    <w:right w:val="single" w:color="FFFFFF" w:sz="4" w:space="0"/>
                  </w:tcBorders>
                  <w:vAlign w:val="center"/>
                </w:tcPr>
                <w:p w14:paraId="6723B98A">
                  <w:pPr>
                    <w:spacing w:line="260" w:lineRule="exact"/>
                    <w:jc w:val="center"/>
                    <w:rPr>
                      <w:color w:val="auto"/>
                      <w:sz w:val="18"/>
                      <w:szCs w:val="18"/>
                    </w:rPr>
                  </w:pPr>
                  <w:r>
                    <w:rPr>
                      <w:rFonts w:hint="eastAsia" w:cs="宋体"/>
                      <w:color w:val="auto"/>
                      <w:sz w:val="18"/>
                      <w:szCs w:val="18"/>
                    </w:rPr>
                    <w:t>时段</w:t>
                  </w:r>
                </w:p>
              </w:tc>
            </w:tr>
            <w:tr w14:paraId="0E3A1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5104" w:type="dxa"/>
                  <w:vMerge w:val="continue"/>
                  <w:tcBorders>
                    <w:top w:val="single" w:color="auto" w:sz="4" w:space="0"/>
                    <w:left w:val="single" w:color="FFFFFF" w:sz="4" w:space="0"/>
                    <w:bottom w:val="single" w:color="auto" w:sz="4" w:space="0"/>
                    <w:right w:val="single" w:color="auto" w:sz="4" w:space="0"/>
                  </w:tcBorders>
                  <w:vAlign w:val="center"/>
                </w:tcPr>
                <w:p w14:paraId="326974C3">
                  <w:pPr>
                    <w:autoSpaceDE w:val="0"/>
                    <w:autoSpaceDN w:val="0"/>
                    <w:adjustRightInd w:val="0"/>
                    <w:jc w:val="center"/>
                    <w:rPr>
                      <w:color w:val="auto"/>
                      <w:sz w:val="18"/>
                      <w:szCs w:val="18"/>
                    </w:rPr>
                  </w:pPr>
                </w:p>
              </w:tc>
              <w:tc>
                <w:tcPr>
                  <w:tcW w:w="1712" w:type="dxa"/>
                  <w:tcBorders>
                    <w:top w:val="single" w:color="auto" w:sz="4" w:space="0"/>
                    <w:left w:val="single" w:color="auto" w:sz="4" w:space="0"/>
                    <w:bottom w:val="single" w:color="auto" w:sz="4" w:space="0"/>
                    <w:right w:val="single" w:color="auto" w:sz="4" w:space="0"/>
                  </w:tcBorders>
                  <w:vAlign w:val="center"/>
                </w:tcPr>
                <w:p w14:paraId="56C25CAB">
                  <w:pPr>
                    <w:autoSpaceDE w:val="0"/>
                    <w:autoSpaceDN w:val="0"/>
                    <w:adjustRightInd w:val="0"/>
                    <w:jc w:val="center"/>
                    <w:rPr>
                      <w:color w:val="auto"/>
                      <w:sz w:val="18"/>
                      <w:szCs w:val="18"/>
                    </w:rPr>
                  </w:pPr>
                  <w:r>
                    <w:rPr>
                      <w:rFonts w:hint="eastAsia" w:cs="宋体"/>
                      <w:color w:val="auto"/>
                      <w:sz w:val="18"/>
                      <w:szCs w:val="18"/>
                    </w:rPr>
                    <w:t>昼间</w:t>
                  </w:r>
                </w:p>
              </w:tc>
              <w:tc>
                <w:tcPr>
                  <w:tcW w:w="1712" w:type="dxa"/>
                  <w:tcBorders>
                    <w:top w:val="single" w:color="auto" w:sz="4" w:space="0"/>
                    <w:left w:val="single" w:color="auto" w:sz="4" w:space="0"/>
                    <w:bottom w:val="single" w:color="auto" w:sz="4" w:space="0"/>
                    <w:right w:val="single" w:color="FFFFFF" w:sz="4" w:space="0"/>
                  </w:tcBorders>
                  <w:vAlign w:val="center"/>
                </w:tcPr>
                <w:p w14:paraId="18D78A19">
                  <w:pPr>
                    <w:spacing w:line="260" w:lineRule="exact"/>
                    <w:jc w:val="center"/>
                    <w:rPr>
                      <w:b/>
                      <w:bCs/>
                      <w:color w:val="auto"/>
                      <w:sz w:val="18"/>
                      <w:szCs w:val="18"/>
                    </w:rPr>
                  </w:pPr>
                  <w:r>
                    <w:rPr>
                      <w:rFonts w:hint="eastAsia" w:cs="宋体"/>
                      <w:color w:val="auto"/>
                      <w:sz w:val="18"/>
                      <w:szCs w:val="18"/>
                    </w:rPr>
                    <w:t>夜间</w:t>
                  </w:r>
                </w:p>
              </w:tc>
            </w:tr>
            <w:tr w14:paraId="6A99A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5104" w:type="dxa"/>
                  <w:tcBorders>
                    <w:top w:val="single" w:color="auto" w:sz="4" w:space="0"/>
                    <w:left w:val="single" w:color="FFFFFF" w:sz="4" w:space="0"/>
                    <w:bottom w:val="single" w:color="000000" w:sz="12" w:space="0"/>
                    <w:right w:val="single" w:color="auto" w:sz="4" w:space="0"/>
                  </w:tcBorders>
                  <w:vAlign w:val="center"/>
                </w:tcPr>
                <w:p w14:paraId="1DC741F9">
                  <w:pPr>
                    <w:autoSpaceDE w:val="0"/>
                    <w:autoSpaceDN w:val="0"/>
                    <w:adjustRightInd w:val="0"/>
                    <w:jc w:val="center"/>
                    <w:rPr>
                      <w:color w:val="auto"/>
                      <w:sz w:val="18"/>
                      <w:szCs w:val="18"/>
                    </w:rPr>
                  </w:pPr>
                  <w:r>
                    <w:rPr>
                      <w:rFonts w:hint="eastAsia"/>
                      <w:color w:val="auto"/>
                      <w:sz w:val="18"/>
                      <w:szCs w:val="18"/>
                    </w:rPr>
                    <w:t>2 类</w:t>
                  </w:r>
                </w:p>
              </w:tc>
              <w:tc>
                <w:tcPr>
                  <w:tcW w:w="1712" w:type="dxa"/>
                  <w:tcBorders>
                    <w:top w:val="single" w:color="auto" w:sz="4" w:space="0"/>
                    <w:left w:val="single" w:color="auto" w:sz="4" w:space="0"/>
                    <w:bottom w:val="single" w:color="000000" w:sz="12" w:space="0"/>
                    <w:right w:val="single" w:color="auto" w:sz="4" w:space="0"/>
                  </w:tcBorders>
                  <w:vAlign w:val="center"/>
                </w:tcPr>
                <w:p w14:paraId="214AF4D7">
                  <w:pPr>
                    <w:autoSpaceDE w:val="0"/>
                    <w:autoSpaceDN w:val="0"/>
                    <w:adjustRightInd w:val="0"/>
                    <w:jc w:val="center"/>
                    <w:rPr>
                      <w:color w:val="auto"/>
                      <w:sz w:val="18"/>
                      <w:szCs w:val="18"/>
                    </w:rPr>
                  </w:pPr>
                  <w:r>
                    <w:rPr>
                      <w:color w:val="auto"/>
                      <w:sz w:val="18"/>
                      <w:szCs w:val="18"/>
                    </w:rPr>
                    <w:t>6</w:t>
                  </w:r>
                  <w:r>
                    <w:rPr>
                      <w:rFonts w:hint="eastAsia"/>
                      <w:color w:val="auto"/>
                      <w:sz w:val="18"/>
                      <w:szCs w:val="18"/>
                    </w:rPr>
                    <w:t>0</w:t>
                  </w:r>
                </w:p>
              </w:tc>
              <w:tc>
                <w:tcPr>
                  <w:tcW w:w="1712" w:type="dxa"/>
                  <w:tcBorders>
                    <w:top w:val="single" w:color="auto" w:sz="4" w:space="0"/>
                    <w:left w:val="single" w:color="auto" w:sz="4" w:space="0"/>
                    <w:bottom w:val="single" w:color="000000" w:sz="12" w:space="0"/>
                    <w:right w:val="single" w:color="FFFFFF" w:sz="4" w:space="0"/>
                  </w:tcBorders>
                  <w:vAlign w:val="center"/>
                </w:tcPr>
                <w:p w14:paraId="6F4DF3AF">
                  <w:pPr>
                    <w:autoSpaceDE w:val="0"/>
                    <w:autoSpaceDN w:val="0"/>
                    <w:adjustRightInd w:val="0"/>
                    <w:jc w:val="center"/>
                    <w:rPr>
                      <w:color w:val="auto"/>
                      <w:sz w:val="18"/>
                      <w:szCs w:val="18"/>
                    </w:rPr>
                  </w:pPr>
                  <w:r>
                    <w:rPr>
                      <w:color w:val="auto"/>
                      <w:sz w:val="18"/>
                      <w:szCs w:val="18"/>
                    </w:rPr>
                    <w:t>5</w:t>
                  </w:r>
                  <w:r>
                    <w:rPr>
                      <w:rFonts w:hint="eastAsia"/>
                      <w:color w:val="auto"/>
                      <w:sz w:val="18"/>
                      <w:szCs w:val="18"/>
                    </w:rPr>
                    <w:t>0</w:t>
                  </w:r>
                </w:p>
              </w:tc>
            </w:tr>
          </w:tbl>
          <w:p w14:paraId="1B30CDFB">
            <w:pPr>
              <w:adjustRightInd w:val="0"/>
              <w:snapToGrid w:val="0"/>
              <w:ind w:left="420" w:leftChars="200"/>
              <w:jc w:val="center"/>
              <w:rPr>
                <w:rFonts w:cs="宋体"/>
                <w:b/>
                <w:bCs/>
                <w:color w:val="auto"/>
                <w:sz w:val="10"/>
                <w:szCs w:val="10"/>
              </w:rPr>
            </w:pPr>
          </w:p>
          <w:p w14:paraId="20882FD1">
            <w:pPr>
              <w:adjustRightInd w:val="0"/>
              <w:snapToGrid w:val="0"/>
              <w:spacing w:line="336" w:lineRule="auto"/>
              <w:jc w:val="left"/>
              <w:rPr>
                <w:color w:val="auto"/>
              </w:rPr>
            </w:pPr>
            <w:r>
              <w:rPr>
                <w:rFonts w:hint="eastAsia"/>
                <w:color w:val="auto"/>
              </w:rPr>
              <w:t>3</w:t>
            </w:r>
            <w:r>
              <w:rPr>
                <w:rFonts w:hint="eastAsia" w:cs="宋体"/>
                <w:color w:val="auto"/>
              </w:rPr>
              <w:t>、固体废物标准</w:t>
            </w:r>
          </w:p>
          <w:p w14:paraId="149FCBBB">
            <w:pPr>
              <w:adjustRightInd w:val="0"/>
              <w:snapToGrid w:val="0"/>
              <w:spacing w:line="360" w:lineRule="auto"/>
              <w:ind w:firstLine="480"/>
              <w:rPr>
                <w:rFonts w:ascii="宋体" w:hAnsi="宋体" w:cs="宋体"/>
                <w:color w:val="auto"/>
              </w:rPr>
            </w:pPr>
            <w:r>
              <w:rPr>
                <w:rFonts w:hint="eastAsia"/>
                <w:color w:val="auto"/>
              </w:rPr>
              <w:t>一般固体废物执行《一般工业固体废物贮存和填埋污染控制标准》（GB18599-2020）中相关要求。</w:t>
            </w:r>
          </w:p>
        </w:tc>
      </w:tr>
      <w:tr w14:paraId="2F6CA5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vAlign w:val="center"/>
          </w:tcPr>
          <w:p w14:paraId="7ECD7C65">
            <w:pPr>
              <w:adjustRightInd w:val="0"/>
              <w:snapToGrid w:val="0"/>
              <w:jc w:val="center"/>
              <w:rPr>
                <w:rFonts w:ascii="宋体" w:hAnsi="宋体" w:cs="宋体"/>
                <w:color w:val="auto"/>
              </w:rPr>
            </w:pPr>
            <w:r>
              <w:rPr>
                <w:rFonts w:hint="eastAsia" w:ascii="宋体" w:hAnsi="宋体" w:cs="宋体"/>
                <w:color w:val="auto"/>
              </w:rPr>
              <w:t>总量</w:t>
            </w:r>
          </w:p>
          <w:p w14:paraId="6C9B3EF0">
            <w:pPr>
              <w:adjustRightInd w:val="0"/>
              <w:snapToGrid w:val="0"/>
              <w:jc w:val="center"/>
              <w:rPr>
                <w:rFonts w:ascii="宋体" w:hAnsi="宋体" w:cs="宋体"/>
                <w:color w:val="auto"/>
              </w:rPr>
            </w:pPr>
            <w:r>
              <w:rPr>
                <w:rFonts w:hint="eastAsia" w:ascii="宋体" w:hAnsi="宋体" w:cs="宋体"/>
                <w:color w:val="auto"/>
              </w:rPr>
              <w:t>控制</w:t>
            </w:r>
          </w:p>
          <w:p w14:paraId="35473251">
            <w:pPr>
              <w:adjustRightInd w:val="0"/>
              <w:snapToGrid w:val="0"/>
              <w:jc w:val="center"/>
              <w:rPr>
                <w:rFonts w:ascii="宋体" w:hAnsi="宋体" w:cs="宋体"/>
                <w:color w:val="auto"/>
              </w:rPr>
            </w:pPr>
            <w:r>
              <w:rPr>
                <w:rFonts w:hint="eastAsia" w:ascii="宋体" w:hAnsi="宋体" w:cs="宋体"/>
                <w:color w:val="auto"/>
              </w:rPr>
              <w:t>指标</w:t>
            </w:r>
          </w:p>
        </w:tc>
        <w:tc>
          <w:tcPr>
            <w:tcW w:w="8190" w:type="dxa"/>
            <w:vAlign w:val="center"/>
          </w:tcPr>
          <w:p w14:paraId="4A61F1E9">
            <w:pPr>
              <w:adjustRightInd w:val="0"/>
              <w:snapToGrid w:val="0"/>
              <w:spacing w:beforeLines="50" w:line="360" w:lineRule="auto"/>
              <w:jc w:val="left"/>
              <w:rPr>
                <w:color w:val="auto"/>
              </w:rPr>
            </w:pPr>
            <w:r>
              <w:rPr>
                <w:color w:val="auto"/>
              </w:rPr>
              <w:t>1、总量审核实施分类管理</w:t>
            </w:r>
          </w:p>
          <w:p w14:paraId="0F22414A">
            <w:pPr>
              <w:adjustRightInd w:val="0"/>
              <w:snapToGrid w:val="0"/>
              <w:spacing w:line="360" w:lineRule="auto"/>
              <w:ind w:firstLine="420" w:firstLineChars="200"/>
              <w:jc w:val="left"/>
              <w:rPr>
                <w:color w:val="auto"/>
              </w:rPr>
            </w:pPr>
            <w:r>
              <w:rPr>
                <w:color w:val="auto"/>
              </w:rPr>
              <w:t xml:space="preserve">根据吉林省生态环境厅《关于进一步明确建设项目主要污染物排放总量审核有关事宜的复函》中对建设项目污染排放总量审核实施分类管理： </w:t>
            </w:r>
          </w:p>
          <w:p w14:paraId="5438D996">
            <w:pPr>
              <w:adjustRightInd w:val="0"/>
              <w:snapToGrid w:val="0"/>
              <w:spacing w:line="360" w:lineRule="auto"/>
              <w:ind w:firstLine="420" w:firstLineChars="200"/>
              <w:jc w:val="left"/>
              <w:rPr>
                <w:color w:val="auto"/>
              </w:rPr>
            </w:pPr>
            <w:r>
              <w:rPr>
                <w:color w:val="auto"/>
              </w:rPr>
              <w:t>执行重点行业排放管理的建设项目包括石化、煤化工、燃煤发电、钢铁、有色金属冶炼、建材、造纸制浆、印染、集中供热等行业含有按照《排污许可证申请与核发技术规范》确定的主要排放口的涉及新增污染物排放的建设项目。</w:t>
            </w:r>
          </w:p>
          <w:p w14:paraId="0C3FD45A">
            <w:pPr>
              <w:adjustRightInd w:val="0"/>
              <w:snapToGrid w:val="0"/>
              <w:spacing w:line="360" w:lineRule="auto"/>
              <w:ind w:firstLine="420" w:firstLineChars="200"/>
              <w:jc w:val="left"/>
              <w:rPr>
                <w:color w:val="auto"/>
              </w:rPr>
            </w:pPr>
            <w:r>
              <w:rPr>
                <w:color w:val="auto"/>
              </w:rPr>
              <w:t>执行一般行业排放管理的建设项目包括除重点行业外、含有按照《排污许可证申请与核发技术规范》确定的主要排放口的涉及新增污染物排放的建设项目。</w:t>
            </w:r>
          </w:p>
          <w:p w14:paraId="7B0E74D4">
            <w:pPr>
              <w:adjustRightInd w:val="0"/>
              <w:snapToGrid w:val="0"/>
              <w:spacing w:line="360" w:lineRule="auto"/>
              <w:ind w:firstLine="420" w:firstLineChars="200"/>
              <w:jc w:val="left"/>
              <w:rPr>
                <w:color w:val="auto"/>
              </w:rPr>
            </w:pPr>
            <w:r>
              <w:rPr>
                <w:color w:val="auto"/>
              </w:rPr>
              <w:t>执行其他行业排放管理的建设项目包括除重点行业外、仅含有按照《排污许可证申请与核发技术规范》确定的一般排放口或无排污口的建设项目。</w:t>
            </w:r>
          </w:p>
          <w:p w14:paraId="30975A91">
            <w:pPr>
              <w:adjustRightInd w:val="0"/>
              <w:snapToGrid w:val="0"/>
              <w:spacing w:line="360" w:lineRule="auto"/>
              <w:jc w:val="left"/>
              <w:rPr>
                <w:color w:val="auto"/>
              </w:rPr>
            </w:pPr>
            <w:r>
              <w:rPr>
                <w:color w:val="auto"/>
              </w:rPr>
              <w:t>2、总量控制因子确定</w:t>
            </w:r>
          </w:p>
          <w:p w14:paraId="4382DDAF">
            <w:pPr>
              <w:adjustRightInd w:val="0"/>
              <w:snapToGrid w:val="0"/>
              <w:spacing w:line="360" w:lineRule="auto"/>
              <w:ind w:firstLine="420" w:firstLineChars="200"/>
              <w:jc w:val="left"/>
              <w:rPr>
                <w:color w:val="auto"/>
              </w:rPr>
            </w:pPr>
            <w:r>
              <w:rPr>
                <w:color w:val="auto"/>
              </w:rPr>
              <w:t>实施总量审核管理的主要污染物包括：大气主要污染物是指挥发性有机物（VOCs)、 氮氧化物（NOx)、 二氧化硫（SO</w:t>
            </w:r>
            <w:r>
              <w:rPr>
                <w:color w:val="auto"/>
                <w:vertAlign w:val="subscript"/>
              </w:rPr>
              <w:t>2</w:t>
            </w:r>
            <w:r>
              <w:rPr>
                <w:color w:val="auto"/>
              </w:rPr>
              <w:t>)、 烟尘，水主要污染物是指化学需氧量（COD)、 氨氮（NH</w:t>
            </w:r>
            <w:r>
              <w:rPr>
                <w:color w:val="auto"/>
                <w:vertAlign w:val="subscript"/>
              </w:rPr>
              <w:t>3</w:t>
            </w:r>
            <w:r>
              <w:rPr>
                <w:color w:val="auto"/>
              </w:rPr>
              <w:t>-N)。</w:t>
            </w:r>
          </w:p>
          <w:p w14:paraId="14FBC58E">
            <w:pPr>
              <w:adjustRightInd w:val="0"/>
              <w:snapToGrid w:val="0"/>
              <w:spacing w:line="360" w:lineRule="auto"/>
              <w:jc w:val="left"/>
              <w:rPr>
                <w:color w:val="auto"/>
              </w:rPr>
            </w:pPr>
            <w:r>
              <w:rPr>
                <w:color w:val="auto"/>
              </w:rPr>
              <w:t>3、污染物排放总量审核要求</w:t>
            </w:r>
          </w:p>
          <w:p w14:paraId="2EBC2DC4">
            <w:pPr>
              <w:adjustRightInd w:val="0"/>
              <w:snapToGrid w:val="0"/>
              <w:spacing w:line="360" w:lineRule="auto"/>
              <w:ind w:firstLine="420" w:firstLineChars="200"/>
              <w:jc w:val="left"/>
              <w:rPr>
                <w:color w:val="auto"/>
              </w:rPr>
            </w:pPr>
            <w:r>
              <w:rPr>
                <w:color w:val="auto"/>
              </w:rPr>
              <w:t>根据《固定污染源排污许可分类管理名录（2019 年版）》，本项目属于</w:t>
            </w:r>
            <w:r>
              <w:rPr>
                <w:rFonts w:hint="eastAsia" w:ascii="宋体" w:hAnsi="宋体" w:cs="宋体"/>
                <w:color w:val="auto"/>
              </w:rPr>
              <w:t>“</w:t>
            </w:r>
            <w:r>
              <w:rPr>
                <w:color w:val="auto"/>
              </w:rPr>
              <w:t>二十五、非金属矿物制品业/64砖瓦、石材等建筑材料制造/建筑用石加工</w:t>
            </w:r>
            <w:r>
              <w:rPr>
                <w:rFonts w:hint="eastAsia" w:ascii="宋体" w:hAnsi="宋体" w:cs="宋体"/>
                <w:color w:val="auto"/>
              </w:rPr>
              <w:t>”，属于“简化管理”</w:t>
            </w:r>
            <w:r>
              <w:rPr>
                <w:color w:val="auto"/>
              </w:rPr>
              <w:t>，无排污口，故本项目属于执行其他行业排放管理的建设项目。</w:t>
            </w:r>
          </w:p>
          <w:p w14:paraId="1927C81B">
            <w:pPr>
              <w:adjustRightInd w:val="0"/>
              <w:snapToGrid w:val="0"/>
              <w:spacing w:line="360" w:lineRule="auto"/>
              <w:ind w:firstLine="420" w:firstLineChars="200"/>
              <w:jc w:val="left"/>
              <w:rPr>
                <w:color w:val="auto"/>
              </w:rPr>
            </w:pPr>
            <w:r>
              <w:rPr>
                <w:color w:val="auto"/>
              </w:rPr>
              <w:t>根据《关于进一步明确建设项目主要污染物排放总量审核有关事宜的复函》其他行业主要污染物总量审核管理要求：其他行业因排污量很少或基本不新增排污量，在环评审批过程中予以豁免主要污染物总量审核。各级环评审批部门应自行建立统计台账，纳入环境管理。</w:t>
            </w:r>
          </w:p>
          <w:p w14:paraId="6C312D80">
            <w:pPr>
              <w:adjustRightInd w:val="0"/>
              <w:snapToGrid w:val="0"/>
              <w:spacing w:line="360" w:lineRule="auto"/>
              <w:ind w:firstLine="420" w:firstLineChars="200"/>
              <w:jc w:val="left"/>
              <w:rPr>
                <w:color w:val="auto"/>
              </w:rPr>
            </w:pPr>
            <w:r>
              <w:rPr>
                <w:color w:val="auto"/>
              </w:rPr>
              <w:t>综上，本项目无需进行总量审核。</w:t>
            </w:r>
          </w:p>
          <w:p w14:paraId="2CA0F5DA">
            <w:pPr>
              <w:adjustRightInd w:val="0"/>
              <w:snapToGrid w:val="0"/>
              <w:ind w:firstLine="420" w:firstLineChars="200"/>
              <w:rPr>
                <w:rFonts w:ascii="宋体" w:hAnsi="宋体" w:cs="宋体"/>
                <w:color w:val="auto"/>
              </w:rPr>
            </w:pPr>
          </w:p>
        </w:tc>
      </w:tr>
    </w:tbl>
    <w:p w14:paraId="1C72D4D3">
      <w:pPr>
        <w:pStyle w:val="21"/>
        <w:jc w:val="center"/>
        <w:outlineLvl w:val="0"/>
        <w:rPr>
          <w:rFonts w:ascii="黑体" w:hAnsi="黑体" w:eastAsia="黑体"/>
          <w:snapToGrid w:val="0"/>
          <w:color w:val="auto"/>
          <w:sz w:val="30"/>
          <w:szCs w:val="30"/>
        </w:rPr>
      </w:pPr>
      <w:r>
        <w:rPr>
          <w:rFonts w:ascii="黑体" w:hAnsi="黑体" w:eastAsia="黑体"/>
          <w:snapToGrid w:val="0"/>
          <w:color w:val="auto"/>
          <w:sz w:val="36"/>
          <w:szCs w:val="36"/>
        </w:rPr>
        <w:br w:type="page"/>
      </w:r>
      <w:r>
        <w:rPr>
          <w:rFonts w:hint="eastAsia" w:ascii="黑体" w:hAnsi="黑体" w:eastAsia="黑体"/>
          <w:snapToGrid w:val="0"/>
          <w:color w:val="auto"/>
          <w:sz w:val="30"/>
          <w:szCs w:val="30"/>
        </w:rPr>
        <w:t>四、主要环境影响和保护措施</w:t>
      </w:r>
    </w:p>
    <w:tbl>
      <w:tblPr>
        <w:tblStyle w:val="24"/>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2"/>
        <w:gridCol w:w="8029"/>
      </w:tblGrid>
      <w:tr w14:paraId="1D61B8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52" w:type="dxa"/>
            <w:tcMar>
              <w:left w:w="28" w:type="dxa"/>
              <w:right w:w="28" w:type="dxa"/>
            </w:tcMar>
            <w:vAlign w:val="center"/>
          </w:tcPr>
          <w:p w14:paraId="71C8E53C">
            <w:pPr>
              <w:pStyle w:val="21"/>
              <w:adjustRightInd w:val="0"/>
              <w:snapToGrid w:val="0"/>
              <w:spacing w:before="0" w:beforeAutospacing="0" w:after="0" w:afterAutospacing="0"/>
              <w:jc w:val="center"/>
              <w:rPr>
                <w:rFonts w:cs="宋体"/>
                <w:color w:val="auto"/>
                <w:kern w:val="2"/>
                <w:sz w:val="21"/>
                <w:szCs w:val="21"/>
              </w:rPr>
            </w:pPr>
            <w:r>
              <w:rPr>
                <w:rFonts w:hint="eastAsia" w:cs="宋体"/>
                <w:color w:val="auto"/>
                <w:kern w:val="2"/>
                <w:sz w:val="21"/>
                <w:szCs w:val="21"/>
              </w:rPr>
              <w:t>施工</w:t>
            </w:r>
          </w:p>
          <w:p w14:paraId="3F0C8523">
            <w:pPr>
              <w:pStyle w:val="21"/>
              <w:adjustRightInd w:val="0"/>
              <w:snapToGrid w:val="0"/>
              <w:spacing w:before="0" w:beforeAutospacing="0" w:after="0" w:afterAutospacing="0"/>
              <w:jc w:val="center"/>
              <w:rPr>
                <w:rFonts w:cs="宋体"/>
                <w:color w:val="auto"/>
                <w:kern w:val="2"/>
                <w:sz w:val="21"/>
                <w:szCs w:val="21"/>
              </w:rPr>
            </w:pPr>
            <w:r>
              <w:rPr>
                <w:rFonts w:hint="eastAsia" w:cs="宋体"/>
                <w:color w:val="auto"/>
                <w:kern w:val="2"/>
                <w:sz w:val="21"/>
                <w:szCs w:val="21"/>
              </w:rPr>
              <w:t>期环</w:t>
            </w:r>
          </w:p>
          <w:p w14:paraId="7A4438CA">
            <w:pPr>
              <w:pStyle w:val="21"/>
              <w:adjustRightInd w:val="0"/>
              <w:snapToGrid w:val="0"/>
              <w:spacing w:before="0" w:beforeAutospacing="0" w:after="0" w:afterAutospacing="0"/>
              <w:jc w:val="center"/>
              <w:rPr>
                <w:rFonts w:cs="宋体"/>
                <w:color w:val="auto"/>
                <w:kern w:val="2"/>
                <w:sz w:val="21"/>
                <w:szCs w:val="21"/>
              </w:rPr>
            </w:pPr>
            <w:r>
              <w:rPr>
                <w:rFonts w:hint="eastAsia" w:cs="宋体"/>
                <w:color w:val="auto"/>
                <w:kern w:val="2"/>
                <w:sz w:val="21"/>
                <w:szCs w:val="21"/>
              </w:rPr>
              <w:t>境保</w:t>
            </w:r>
          </w:p>
          <w:p w14:paraId="486F6B2B">
            <w:pPr>
              <w:pStyle w:val="21"/>
              <w:adjustRightInd w:val="0"/>
              <w:snapToGrid w:val="0"/>
              <w:spacing w:before="0" w:beforeAutospacing="0" w:after="0" w:afterAutospacing="0"/>
              <w:jc w:val="center"/>
              <w:rPr>
                <w:rFonts w:cs="宋体"/>
                <w:color w:val="auto"/>
                <w:kern w:val="2"/>
                <w:sz w:val="21"/>
                <w:szCs w:val="21"/>
              </w:rPr>
            </w:pPr>
            <w:r>
              <w:rPr>
                <w:rFonts w:hint="eastAsia" w:cs="宋体"/>
                <w:color w:val="auto"/>
                <w:kern w:val="2"/>
                <w:sz w:val="21"/>
                <w:szCs w:val="21"/>
              </w:rPr>
              <w:t>护措</w:t>
            </w:r>
          </w:p>
          <w:p w14:paraId="0014FA2E">
            <w:pPr>
              <w:pStyle w:val="21"/>
              <w:adjustRightInd w:val="0"/>
              <w:snapToGrid w:val="0"/>
              <w:spacing w:before="0" w:beforeAutospacing="0" w:after="0" w:afterAutospacing="0"/>
              <w:jc w:val="center"/>
              <w:rPr>
                <w:rFonts w:cs="宋体"/>
                <w:bCs/>
                <w:color w:val="auto"/>
                <w:kern w:val="2"/>
                <w:sz w:val="21"/>
                <w:szCs w:val="21"/>
              </w:rPr>
            </w:pPr>
            <w:r>
              <w:rPr>
                <w:rFonts w:hint="eastAsia" w:cs="宋体"/>
                <w:color w:val="auto"/>
                <w:kern w:val="2"/>
                <w:sz w:val="21"/>
                <w:szCs w:val="21"/>
              </w:rPr>
              <w:t>施</w:t>
            </w:r>
          </w:p>
        </w:tc>
        <w:tc>
          <w:tcPr>
            <w:tcW w:w="8029" w:type="dxa"/>
          </w:tcPr>
          <w:p w14:paraId="7ADAB9E7">
            <w:pPr>
              <w:adjustRightInd w:val="0"/>
              <w:snapToGrid w:val="0"/>
              <w:spacing w:line="360" w:lineRule="auto"/>
              <w:ind w:firstLine="420" w:firstLineChars="200"/>
              <w:rPr>
                <w:color w:val="auto"/>
              </w:rPr>
            </w:pPr>
            <w:r>
              <w:rPr>
                <w:color w:val="auto"/>
              </w:rPr>
              <w:t>施工期间产生的施工扬尘、施工噪声可能影响外环境，为了保护区域环境空气和环境噪声质量，创造良好的施工环境，提高施工的文明程度，减少对环境的影响，本评价对施工期可能产生的扬尘、废水、噪声及固体废物提出如下污染防治措施。</w:t>
            </w:r>
          </w:p>
          <w:p w14:paraId="3CBBA805">
            <w:pPr>
              <w:adjustRightInd w:val="0"/>
              <w:snapToGrid w:val="0"/>
              <w:spacing w:line="360" w:lineRule="auto"/>
              <w:rPr>
                <w:color w:val="auto"/>
              </w:rPr>
            </w:pPr>
            <w:r>
              <w:rPr>
                <w:color w:val="auto"/>
              </w:rPr>
              <w:t>1、施工废水治理措施</w:t>
            </w:r>
          </w:p>
          <w:p w14:paraId="10E73513">
            <w:pPr>
              <w:spacing w:line="360" w:lineRule="auto"/>
              <w:ind w:firstLine="420" w:firstLineChars="200"/>
              <w:rPr>
                <w:bCs/>
                <w:color w:val="auto"/>
              </w:rPr>
            </w:pPr>
            <w:r>
              <w:rPr>
                <w:bCs/>
                <w:color w:val="auto"/>
              </w:rPr>
              <w:t>（1）修建防渗</w:t>
            </w:r>
            <w:r>
              <w:rPr>
                <w:rFonts w:hint="eastAsia"/>
                <w:bCs/>
                <w:color w:val="auto"/>
              </w:rPr>
              <w:t>净水</w:t>
            </w:r>
            <w:r>
              <w:rPr>
                <w:bCs/>
                <w:color w:val="auto"/>
              </w:rPr>
              <w:t>池，对施工场地产生的生产废水及出工地的带泥车辆清洗轮胎等废水采用沉淀处理后，用于施工现场浇洒降尘。</w:t>
            </w:r>
          </w:p>
          <w:p w14:paraId="506EEA69">
            <w:pPr>
              <w:spacing w:line="360" w:lineRule="auto"/>
              <w:ind w:firstLine="420" w:firstLineChars="200"/>
              <w:rPr>
                <w:bCs/>
                <w:color w:val="auto"/>
              </w:rPr>
            </w:pPr>
            <w:r>
              <w:rPr>
                <w:bCs/>
                <w:color w:val="auto"/>
              </w:rPr>
              <w:t>（2）材料堆放场苫布覆盖，避免雨水冲刷。</w:t>
            </w:r>
          </w:p>
          <w:p w14:paraId="23D8767D">
            <w:pPr>
              <w:spacing w:line="360" w:lineRule="auto"/>
              <w:ind w:firstLine="420" w:firstLineChars="200"/>
              <w:rPr>
                <w:bCs/>
                <w:color w:val="auto"/>
              </w:rPr>
            </w:pPr>
            <w:r>
              <w:rPr>
                <w:bCs/>
                <w:color w:val="auto"/>
              </w:rPr>
              <w:t>（3）严格检查施工机械，保障施工机械设备正常运行和及时维修，避免跑、冒、 滴、漏的油污排放。</w:t>
            </w:r>
          </w:p>
          <w:p w14:paraId="73641E77">
            <w:pPr>
              <w:tabs>
                <w:tab w:val="left" w:pos="110"/>
              </w:tabs>
              <w:spacing w:line="360" w:lineRule="auto"/>
              <w:ind w:firstLine="420" w:firstLineChars="200"/>
              <w:rPr>
                <w:color w:val="auto"/>
              </w:rPr>
            </w:pPr>
            <w:r>
              <w:rPr>
                <w:bCs/>
                <w:color w:val="auto"/>
              </w:rPr>
              <w:t>（4）施工人员生活污水排入厂区防渗旱厕，定期清掏外运做农肥。</w:t>
            </w:r>
          </w:p>
          <w:p w14:paraId="47E775EE">
            <w:pPr>
              <w:adjustRightInd w:val="0"/>
              <w:snapToGrid w:val="0"/>
              <w:spacing w:line="360" w:lineRule="auto"/>
              <w:rPr>
                <w:color w:val="auto"/>
              </w:rPr>
            </w:pPr>
            <w:r>
              <w:rPr>
                <w:color w:val="auto"/>
              </w:rPr>
              <w:t>2、废气防治措施</w:t>
            </w:r>
          </w:p>
          <w:p w14:paraId="679E8A85">
            <w:pPr>
              <w:spacing w:line="360" w:lineRule="auto"/>
              <w:ind w:firstLine="420" w:firstLineChars="200"/>
              <w:rPr>
                <w:bCs/>
                <w:color w:val="auto"/>
              </w:rPr>
            </w:pPr>
            <w:r>
              <w:rPr>
                <w:bCs/>
                <w:color w:val="auto"/>
              </w:rPr>
              <w:t>（1）施工场地周围设置不低于2m的硬质围挡，建材堆放点相对集中，对粉尘性材料的运输、装卸和临时堆放，均采取遮盖、洒水和防风遮挡措施。</w:t>
            </w:r>
          </w:p>
          <w:p w14:paraId="2602B8E5">
            <w:pPr>
              <w:spacing w:line="360" w:lineRule="auto"/>
              <w:ind w:firstLine="420" w:firstLineChars="200"/>
              <w:rPr>
                <w:bCs/>
                <w:color w:val="auto"/>
              </w:rPr>
            </w:pPr>
            <w:r>
              <w:rPr>
                <w:bCs/>
                <w:color w:val="auto"/>
              </w:rPr>
              <w:t>（2）使用商品混凝土。</w:t>
            </w:r>
          </w:p>
          <w:p w14:paraId="2458C25F">
            <w:pPr>
              <w:spacing w:line="360" w:lineRule="auto"/>
              <w:ind w:firstLine="420" w:firstLineChars="200"/>
              <w:rPr>
                <w:bCs/>
                <w:color w:val="auto"/>
              </w:rPr>
            </w:pPr>
            <w:r>
              <w:rPr>
                <w:bCs/>
                <w:color w:val="auto"/>
              </w:rPr>
              <w:t>（3）运输车辆实行封闭式运输，避免在运输过程中的抛洒。</w:t>
            </w:r>
          </w:p>
          <w:p w14:paraId="61A2755F">
            <w:pPr>
              <w:spacing w:line="360" w:lineRule="auto"/>
              <w:ind w:firstLine="420" w:firstLineChars="200"/>
              <w:rPr>
                <w:color w:val="auto"/>
              </w:rPr>
            </w:pPr>
            <w:r>
              <w:rPr>
                <w:bCs/>
                <w:color w:val="auto"/>
              </w:rPr>
              <w:t>（4）施工单位选用符合国家卫生防护标准的施工机械设备和运输工具，加强机械的维护与管理。</w:t>
            </w:r>
          </w:p>
          <w:p w14:paraId="66D6569E">
            <w:pPr>
              <w:adjustRightInd w:val="0"/>
              <w:snapToGrid w:val="0"/>
              <w:spacing w:line="360" w:lineRule="auto"/>
              <w:rPr>
                <w:color w:val="auto"/>
              </w:rPr>
            </w:pPr>
            <w:r>
              <w:rPr>
                <w:color w:val="auto"/>
              </w:rPr>
              <w:t>3、噪声防治措施</w:t>
            </w:r>
          </w:p>
          <w:p w14:paraId="2850AB1C">
            <w:pPr>
              <w:spacing w:line="360" w:lineRule="auto"/>
              <w:ind w:firstLine="420" w:firstLineChars="200"/>
              <w:rPr>
                <w:bCs/>
                <w:color w:val="auto"/>
              </w:rPr>
            </w:pPr>
            <w:r>
              <w:rPr>
                <w:bCs/>
                <w:color w:val="auto"/>
              </w:rPr>
              <w:t>（1）</w:t>
            </w:r>
            <w:r>
              <w:rPr>
                <w:color w:val="auto"/>
              </w:rPr>
              <w:t>合理安排施工时间，制订施工计划时</w:t>
            </w:r>
            <w:r>
              <w:rPr>
                <w:rFonts w:hint="eastAsia"/>
                <w:color w:val="auto"/>
              </w:rPr>
              <w:t>，</w:t>
            </w:r>
            <w:r>
              <w:rPr>
                <w:color w:val="auto"/>
              </w:rPr>
              <w:t>避免高噪声设备同时施工</w:t>
            </w:r>
            <w:r>
              <w:rPr>
                <w:bCs/>
                <w:color w:val="auto"/>
              </w:rPr>
              <w:t>。</w:t>
            </w:r>
          </w:p>
          <w:p w14:paraId="668C0687">
            <w:pPr>
              <w:spacing w:line="360" w:lineRule="auto"/>
              <w:ind w:firstLine="420" w:firstLineChars="200"/>
              <w:rPr>
                <w:bCs/>
                <w:color w:val="auto"/>
              </w:rPr>
            </w:pPr>
            <w:r>
              <w:rPr>
                <w:bCs/>
                <w:color w:val="auto"/>
              </w:rPr>
              <w:t>（2）</w:t>
            </w:r>
            <w:r>
              <w:rPr>
                <w:color w:val="auto"/>
              </w:rPr>
              <w:t>选用低噪声施工机械，严格限制或禁止使用高噪声设备，使用静压桩等低噪音新工艺</w:t>
            </w:r>
            <w:r>
              <w:rPr>
                <w:bCs/>
                <w:color w:val="auto"/>
              </w:rPr>
              <w:t>。</w:t>
            </w:r>
          </w:p>
          <w:p w14:paraId="3F3B6382">
            <w:pPr>
              <w:spacing w:line="360" w:lineRule="auto"/>
              <w:ind w:firstLine="420" w:firstLineChars="200"/>
              <w:rPr>
                <w:bCs/>
                <w:color w:val="auto"/>
              </w:rPr>
            </w:pPr>
            <w:r>
              <w:rPr>
                <w:bCs/>
                <w:color w:val="auto"/>
              </w:rPr>
              <w:t>（3）</w:t>
            </w:r>
            <w:r>
              <w:rPr>
                <w:rFonts w:hint="eastAsia"/>
                <w:bCs/>
                <w:color w:val="auto"/>
              </w:rPr>
              <w:t>采取</w:t>
            </w:r>
            <w:r>
              <w:rPr>
                <w:color w:val="auto"/>
              </w:rPr>
              <w:t>有效的隔音、减振、消声措施，降低噪声级。</w:t>
            </w:r>
          </w:p>
          <w:p w14:paraId="73AF76EC">
            <w:pPr>
              <w:tabs>
                <w:tab w:val="left" w:pos="110"/>
              </w:tabs>
              <w:spacing w:line="360" w:lineRule="auto"/>
              <w:ind w:firstLine="420" w:firstLineChars="200"/>
              <w:rPr>
                <w:color w:val="auto"/>
              </w:rPr>
            </w:pPr>
            <w:r>
              <w:rPr>
                <w:bCs/>
                <w:color w:val="auto"/>
              </w:rPr>
              <w:t>（4）合理进行施工平面布置</w:t>
            </w:r>
            <w:r>
              <w:rPr>
                <w:color w:val="auto"/>
              </w:rPr>
              <w:t>。</w:t>
            </w:r>
          </w:p>
          <w:p w14:paraId="7484606F">
            <w:pPr>
              <w:adjustRightInd w:val="0"/>
              <w:snapToGrid w:val="0"/>
              <w:spacing w:line="360" w:lineRule="auto"/>
              <w:rPr>
                <w:color w:val="auto"/>
              </w:rPr>
            </w:pPr>
            <w:r>
              <w:rPr>
                <w:color w:val="auto"/>
              </w:rPr>
              <w:t>4、固体废物处置措施</w:t>
            </w:r>
          </w:p>
          <w:p w14:paraId="3B74B089">
            <w:pPr>
              <w:spacing w:line="360" w:lineRule="auto"/>
              <w:ind w:firstLine="420" w:firstLineChars="200"/>
              <w:rPr>
                <w:bCs/>
                <w:color w:val="auto"/>
              </w:rPr>
            </w:pPr>
            <w:r>
              <w:rPr>
                <w:bCs/>
                <w:color w:val="auto"/>
              </w:rPr>
              <w:t>（1）严格执行当地建筑垃圾管理的相关规定，</w:t>
            </w:r>
            <w:r>
              <w:rPr>
                <w:color w:val="auto"/>
              </w:rPr>
              <w:t>建筑垃圾清运至指定的建筑垃圾堆放处</w:t>
            </w:r>
            <w:r>
              <w:rPr>
                <w:bCs/>
                <w:color w:val="auto"/>
              </w:rPr>
              <w:t>。</w:t>
            </w:r>
          </w:p>
          <w:p w14:paraId="0186524E">
            <w:pPr>
              <w:pStyle w:val="32"/>
              <w:adjustRightInd w:val="0"/>
              <w:snapToGrid w:val="0"/>
              <w:spacing w:line="360" w:lineRule="auto"/>
              <w:ind w:firstLine="420"/>
              <w:rPr>
                <w:color w:val="auto"/>
              </w:rPr>
            </w:pPr>
            <w:r>
              <w:rPr>
                <w:rFonts w:ascii="Times New Roman" w:hAnsi="Times New Roman" w:cs="Times New Roman"/>
                <w:bCs/>
                <w:color w:val="auto"/>
                <w:sz w:val="21"/>
                <w:szCs w:val="21"/>
              </w:rPr>
              <w:t>（2）生活垃圾采取分类化管理，由环卫部门清运至城市垃圾处理场进行处置。</w:t>
            </w:r>
          </w:p>
        </w:tc>
      </w:tr>
      <w:tr w14:paraId="184435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952" w:type="dxa"/>
            <w:tcMar>
              <w:left w:w="28" w:type="dxa"/>
              <w:right w:w="28" w:type="dxa"/>
            </w:tcMar>
            <w:vAlign w:val="center"/>
          </w:tcPr>
          <w:p w14:paraId="456B4D3A">
            <w:pPr>
              <w:adjustRightInd w:val="0"/>
              <w:snapToGrid w:val="0"/>
              <w:jc w:val="center"/>
              <w:rPr>
                <w:rFonts w:ascii="宋体" w:hAnsi="宋体" w:cs="宋体"/>
                <w:bCs/>
                <w:color w:val="auto"/>
              </w:rPr>
            </w:pPr>
          </w:p>
          <w:p w14:paraId="40DE009E">
            <w:pPr>
              <w:adjustRightInd w:val="0"/>
              <w:snapToGrid w:val="0"/>
              <w:jc w:val="center"/>
              <w:rPr>
                <w:rFonts w:ascii="宋体" w:hAnsi="宋体" w:cs="宋体"/>
                <w:bCs/>
                <w:color w:val="auto"/>
              </w:rPr>
            </w:pPr>
          </w:p>
          <w:p w14:paraId="5E580600">
            <w:pPr>
              <w:adjustRightInd w:val="0"/>
              <w:snapToGrid w:val="0"/>
              <w:jc w:val="center"/>
              <w:rPr>
                <w:rFonts w:ascii="宋体" w:hAnsi="宋体" w:cs="宋体"/>
                <w:bCs/>
                <w:color w:val="auto"/>
              </w:rPr>
            </w:pPr>
          </w:p>
          <w:p w14:paraId="1A089499">
            <w:pPr>
              <w:adjustRightInd w:val="0"/>
              <w:snapToGrid w:val="0"/>
              <w:jc w:val="center"/>
              <w:rPr>
                <w:rFonts w:ascii="宋体" w:hAnsi="宋体" w:cs="宋体"/>
                <w:bCs/>
                <w:color w:val="auto"/>
              </w:rPr>
            </w:pPr>
          </w:p>
          <w:p w14:paraId="1A92DDD2">
            <w:pPr>
              <w:adjustRightInd w:val="0"/>
              <w:snapToGrid w:val="0"/>
              <w:jc w:val="center"/>
              <w:rPr>
                <w:rFonts w:ascii="宋体" w:hAnsi="宋体" w:cs="宋体"/>
                <w:bCs/>
                <w:color w:val="auto"/>
              </w:rPr>
            </w:pPr>
          </w:p>
          <w:p w14:paraId="159814DD">
            <w:pPr>
              <w:adjustRightInd w:val="0"/>
              <w:snapToGrid w:val="0"/>
              <w:jc w:val="center"/>
              <w:rPr>
                <w:rFonts w:ascii="宋体" w:hAnsi="宋体" w:cs="宋体"/>
                <w:bCs/>
                <w:color w:val="auto"/>
              </w:rPr>
            </w:pPr>
          </w:p>
          <w:p w14:paraId="0E67FFFA">
            <w:pPr>
              <w:adjustRightInd w:val="0"/>
              <w:snapToGrid w:val="0"/>
              <w:jc w:val="center"/>
              <w:rPr>
                <w:rFonts w:ascii="宋体" w:hAnsi="宋体" w:cs="宋体"/>
                <w:bCs/>
                <w:color w:val="auto"/>
              </w:rPr>
            </w:pPr>
          </w:p>
          <w:p w14:paraId="09986A11">
            <w:pPr>
              <w:adjustRightInd w:val="0"/>
              <w:snapToGrid w:val="0"/>
              <w:jc w:val="center"/>
              <w:rPr>
                <w:rFonts w:ascii="宋体" w:hAnsi="宋体" w:cs="宋体"/>
                <w:bCs/>
                <w:color w:val="auto"/>
              </w:rPr>
            </w:pPr>
          </w:p>
          <w:p w14:paraId="05850858">
            <w:pPr>
              <w:adjustRightInd w:val="0"/>
              <w:snapToGrid w:val="0"/>
              <w:jc w:val="center"/>
              <w:rPr>
                <w:rFonts w:ascii="宋体" w:hAnsi="宋体" w:cs="宋体"/>
                <w:bCs/>
                <w:color w:val="auto"/>
              </w:rPr>
            </w:pPr>
          </w:p>
          <w:p w14:paraId="60848700">
            <w:pPr>
              <w:adjustRightInd w:val="0"/>
              <w:snapToGrid w:val="0"/>
              <w:jc w:val="center"/>
              <w:rPr>
                <w:rFonts w:ascii="宋体" w:hAnsi="宋体" w:cs="宋体"/>
                <w:bCs/>
                <w:color w:val="auto"/>
              </w:rPr>
            </w:pPr>
          </w:p>
          <w:p w14:paraId="51EA9209">
            <w:pPr>
              <w:adjustRightInd w:val="0"/>
              <w:snapToGrid w:val="0"/>
              <w:jc w:val="center"/>
              <w:rPr>
                <w:rFonts w:ascii="宋体" w:hAnsi="宋体" w:cs="宋体"/>
                <w:bCs/>
                <w:color w:val="auto"/>
              </w:rPr>
            </w:pPr>
          </w:p>
          <w:p w14:paraId="341DC31F">
            <w:pPr>
              <w:adjustRightInd w:val="0"/>
              <w:snapToGrid w:val="0"/>
              <w:jc w:val="center"/>
              <w:rPr>
                <w:rFonts w:ascii="宋体" w:hAnsi="宋体" w:cs="宋体"/>
                <w:bCs/>
                <w:color w:val="auto"/>
              </w:rPr>
            </w:pPr>
          </w:p>
          <w:p w14:paraId="476016D6">
            <w:pPr>
              <w:adjustRightInd w:val="0"/>
              <w:snapToGrid w:val="0"/>
              <w:jc w:val="center"/>
              <w:rPr>
                <w:rFonts w:ascii="宋体" w:hAnsi="宋体" w:cs="宋体"/>
                <w:bCs/>
                <w:color w:val="auto"/>
              </w:rPr>
            </w:pPr>
          </w:p>
          <w:p w14:paraId="7C57FC0E">
            <w:pPr>
              <w:adjustRightInd w:val="0"/>
              <w:snapToGrid w:val="0"/>
              <w:jc w:val="center"/>
              <w:rPr>
                <w:rFonts w:ascii="宋体" w:hAnsi="宋体" w:cs="宋体"/>
                <w:bCs/>
                <w:color w:val="auto"/>
              </w:rPr>
            </w:pPr>
          </w:p>
          <w:p w14:paraId="02630D7D">
            <w:pPr>
              <w:adjustRightInd w:val="0"/>
              <w:snapToGrid w:val="0"/>
              <w:jc w:val="center"/>
              <w:rPr>
                <w:rFonts w:ascii="宋体" w:hAnsi="宋体" w:cs="宋体"/>
                <w:bCs/>
                <w:color w:val="auto"/>
              </w:rPr>
            </w:pPr>
          </w:p>
          <w:p w14:paraId="09B609A4">
            <w:pPr>
              <w:adjustRightInd w:val="0"/>
              <w:snapToGrid w:val="0"/>
              <w:jc w:val="center"/>
              <w:rPr>
                <w:rFonts w:ascii="宋体" w:hAnsi="宋体" w:cs="宋体"/>
                <w:bCs/>
                <w:color w:val="auto"/>
              </w:rPr>
            </w:pPr>
          </w:p>
          <w:p w14:paraId="4C97BA65">
            <w:pPr>
              <w:adjustRightInd w:val="0"/>
              <w:snapToGrid w:val="0"/>
              <w:jc w:val="center"/>
              <w:rPr>
                <w:rFonts w:ascii="宋体" w:hAnsi="宋体" w:cs="宋体"/>
                <w:bCs/>
                <w:color w:val="auto"/>
              </w:rPr>
            </w:pPr>
          </w:p>
          <w:p w14:paraId="306361C8">
            <w:pPr>
              <w:adjustRightInd w:val="0"/>
              <w:snapToGrid w:val="0"/>
              <w:jc w:val="center"/>
              <w:rPr>
                <w:rFonts w:ascii="宋体" w:hAnsi="宋体" w:cs="宋体"/>
                <w:bCs/>
                <w:color w:val="auto"/>
              </w:rPr>
            </w:pPr>
          </w:p>
          <w:p w14:paraId="13073D27">
            <w:pPr>
              <w:adjustRightInd w:val="0"/>
              <w:snapToGrid w:val="0"/>
              <w:jc w:val="center"/>
              <w:rPr>
                <w:rFonts w:ascii="宋体" w:hAnsi="宋体" w:cs="宋体"/>
                <w:bCs/>
                <w:color w:val="auto"/>
              </w:rPr>
            </w:pPr>
          </w:p>
          <w:p w14:paraId="5E2B4153">
            <w:pPr>
              <w:adjustRightInd w:val="0"/>
              <w:snapToGrid w:val="0"/>
              <w:jc w:val="center"/>
              <w:rPr>
                <w:rFonts w:ascii="宋体" w:hAnsi="宋体" w:cs="宋体"/>
                <w:bCs/>
                <w:color w:val="auto"/>
              </w:rPr>
            </w:pPr>
          </w:p>
          <w:p w14:paraId="7B73ABF8">
            <w:pPr>
              <w:adjustRightInd w:val="0"/>
              <w:snapToGrid w:val="0"/>
              <w:jc w:val="center"/>
              <w:rPr>
                <w:rFonts w:ascii="宋体" w:hAnsi="宋体" w:cs="宋体"/>
                <w:bCs/>
                <w:color w:val="auto"/>
              </w:rPr>
            </w:pPr>
          </w:p>
          <w:p w14:paraId="4890D7D2">
            <w:pPr>
              <w:adjustRightInd w:val="0"/>
              <w:snapToGrid w:val="0"/>
              <w:jc w:val="center"/>
              <w:rPr>
                <w:rFonts w:ascii="宋体" w:hAnsi="宋体" w:cs="宋体"/>
                <w:bCs/>
                <w:color w:val="auto"/>
              </w:rPr>
            </w:pPr>
          </w:p>
          <w:p w14:paraId="4EB102A5">
            <w:pPr>
              <w:adjustRightInd w:val="0"/>
              <w:snapToGrid w:val="0"/>
              <w:jc w:val="center"/>
              <w:rPr>
                <w:rFonts w:ascii="宋体" w:hAnsi="宋体" w:cs="宋体"/>
                <w:bCs/>
                <w:color w:val="auto"/>
              </w:rPr>
            </w:pPr>
          </w:p>
          <w:p w14:paraId="0204D322">
            <w:pPr>
              <w:adjustRightInd w:val="0"/>
              <w:snapToGrid w:val="0"/>
              <w:jc w:val="center"/>
              <w:rPr>
                <w:rFonts w:ascii="宋体" w:hAnsi="宋体" w:cs="宋体"/>
                <w:bCs/>
                <w:color w:val="auto"/>
              </w:rPr>
            </w:pPr>
            <w:r>
              <w:rPr>
                <w:rFonts w:hint="eastAsia" w:ascii="宋体" w:hAnsi="宋体" w:cs="宋体"/>
                <w:bCs/>
                <w:color w:val="auto"/>
              </w:rPr>
              <w:t>运营</w:t>
            </w:r>
          </w:p>
          <w:p w14:paraId="505DC7D3">
            <w:pPr>
              <w:adjustRightInd w:val="0"/>
              <w:snapToGrid w:val="0"/>
              <w:jc w:val="center"/>
              <w:rPr>
                <w:rFonts w:ascii="宋体" w:hAnsi="宋体" w:cs="宋体"/>
                <w:bCs/>
                <w:color w:val="auto"/>
              </w:rPr>
            </w:pPr>
            <w:r>
              <w:rPr>
                <w:rFonts w:hint="eastAsia" w:ascii="宋体" w:hAnsi="宋体" w:cs="宋体"/>
                <w:bCs/>
                <w:color w:val="auto"/>
              </w:rPr>
              <w:t>期环</w:t>
            </w:r>
          </w:p>
          <w:p w14:paraId="4ED065E4">
            <w:pPr>
              <w:adjustRightInd w:val="0"/>
              <w:snapToGrid w:val="0"/>
              <w:jc w:val="center"/>
              <w:rPr>
                <w:rFonts w:ascii="宋体" w:hAnsi="宋体" w:cs="宋体"/>
                <w:bCs/>
                <w:color w:val="auto"/>
              </w:rPr>
            </w:pPr>
            <w:r>
              <w:rPr>
                <w:rFonts w:hint="eastAsia" w:ascii="宋体" w:hAnsi="宋体" w:cs="宋体"/>
                <w:bCs/>
                <w:color w:val="auto"/>
              </w:rPr>
              <w:t>境影</w:t>
            </w:r>
          </w:p>
          <w:p w14:paraId="5ED14826">
            <w:pPr>
              <w:adjustRightInd w:val="0"/>
              <w:snapToGrid w:val="0"/>
              <w:jc w:val="center"/>
              <w:rPr>
                <w:rFonts w:ascii="宋体" w:hAnsi="宋体" w:cs="宋体"/>
                <w:bCs/>
                <w:color w:val="auto"/>
              </w:rPr>
            </w:pPr>
            <w:r>
              <w:rPr>
                <w:rFonts w:hint="eastAsia" w:ascii="宋体" w:hAnsi="宋体" w:cs="宋体"/>
                <w:bCs/>
                <w:color w:val="auto"/>
              </w:rPr>
              <w:t>响和</w:t>
            </w:r>
          </w:p>
          <w:p w14:paraId="37E3A03D">
            <w:pPr>
              <w:adjustRightInd w:val="0"/>
              <w:snapToGrid w:val="0"/>
              <w:jc w:val="center"/>
              <w:rPr>
                <w:rFonts w:ascii="宋体" w:hAnsi="宋体" w:cs="宋体"/>
                <w:bCs/>
                <w:color w:val="auto"/>
              </w:rPr>
            </w:pPr>
            <w:r>
              <w:rPr>
                <w:rFonts w:hint="eastAsia" w:ascii="宋体" w:hAnsi="宋体" w:cs="宋体"/>
                <w:bCs/>
                <w:color w:val="auto"/>
              </w:rPr>
              <w:t>保护</w:t>
            </w:r>
          </w:p>
          <w:p w14:paraId="0D32FDD9">
            <w:pPr>
              <w:adjustRightInd w:val="0"/>
              <w:snapToGrid w:val="0"/>
              <w:jc w:val="center"/>
              <w:rPr>
                <w:rFonts w:ascii="宋体" w:hAnsi="宋体" w:cs="宋体"/>
                <w:bCs/>
                <w:color w:val="auto"/>
              </w:rPr>
            </w:pPr>
            <w:r>
              <w:rPr>
                <w:rFonts w:hint="eastAsia" w:ascii="宋体" w:hAnsi="宋体" w:cs="宋体"/>
                <w:bCs/>
                <w:color w:val="auto"/>
              </w:rPr>
              <w:t>措施</w:t>
            </w:r>
          </w:p>
        </w:tc>
        <w:tc>
          <w:tcPr>
            <w:tcW w:w="8029" w:type="dxa"/>
          </w:tcPr>
          <w:p w14:paraId="01094377">
            <w:pPr>
              <w:adjustRightInd w:val="0"/>
              <w:snapToGrid w:val="0"/>
              <w:spacing w:beforeLines="50" w:line="336" w:lineRule="auto"/>
              <w:rPr>
                <w:rFonts w:cs="宋体"/>
                <w:color w:val="auto"/>
              </w:rPr>
            </w:pPr>
            <w:r>
              <w:rPr>
                <w:rFonts w:hint="eastAsia" w:cs="宋体"/>
                <w:color w:val="auto"/>
              </w:rPr>
              <w:t>1、废水</w:t>
            </w:r>
          </w:p>
          <w:p w14:paraId="214F9F43">
            <w:pPr>
              <w:adjustRightInd w:val="0"/>
              <w:snapToGrid w:val="0"/>
              <w:spacing w:line="360" w:lineRule="auto"/>
              <w:ind w:firstLine="420" w:firstLineChars="200"/>
              <w:rPr>
                <w:color w:val="auto"/>
              </w:rPr>
            </w:pPr>
            <w:bookmarkStart w:id="4" w:name="OLE_LINK2"/>
            <w:r>
              <w:rPr>
                <w:rFonts w:hint="eastAsia"/>
                <w:color w:val="auto"/>
              </w:rPr>
              <w:t>项目产生的废水为生活污水，产生量为64t/a，污水排入防渗旱厕内定期清淘用作农肥。</w:t>
            </w:r>
          </w:p>
          <w:p w14:paraId="0EDAE373">
            <w:pPr>
              <w:snapToGrid w:val="0"/>
              <w:spacing w:line="360" w:lineRule="auto"/>
              <w:ind w:firstLine="420" w:firstLineChars="200"/>
              <w:jc w:val="left"/>
              <w:rPr>
                <w:color w:val="auto"/>
              </w:rPr>
            </w:pPr>
            <w:r>
              <w:rPr>
                <w:color w:val="auto"/>
              </w:rPr>
              <w:t>项目颚破工序降尘用水，</w:t>
            </w:r>
            <w:r>
              <w:rPr>
                <w:bCs/>
                <w:color w:val="auto"/>
              </w:rPr>
              <w:t>堆场及道路降尘用水，</w:t>
            </w:r>
            <w:r>
              <w:rPr>
                <w:color w:val="auto"/>
              </w:rPr>
              <w:t>装卸、上料及输送降尘用水全部蒸发损耗；洗砂废水排入厂区</w:t>
            </w:r>
            <w:r>
              <w:rPr>
                <w:rFonts w:hint="eastAsia"/>
                <w:color w:val="auto"/>
              </w:rPr>
              <w:t>水罐中，进行沉淀处理</w:t>
            </w:r>
            <w:r>
              <w:rPr>
                <w:color w:val="auto"/>
              </w:rPr>
              <w:t>，上清液</w:t>
            </w:r>
            <w:r>
              <w:rPr>
                <w:rFonts w:hint="eastAsia"/>
                <w:color w:val="auto"/>
              </w:rPr>
              <w:t>进入净水池中</w:t>
            </w:r>
            <w:r>
              <w:rPr>
                <w:color w:val="auto"/>
              </w:rPr>
              <w:t>回用不外排。</w:t>
            </w:r>
            <w:bookmarkEnd w:id="4"/>
          </w:p>
          <w:p w14:paraId="27AD3A03">
            <w:pPr>
              <w:snapToGrid w:val="0"/>
              <w:spacing w:line="360" w:lineRule="auto"/>
              <w:ind w:firstLine="420" w:firstLineChars="200"/>
              <w:jc w:val="left"/>
              <w:rPr>
                <w:color w:val="auto"/>
              </w:rPr>
            </w:pPr>
            <w:r>
              <w:rPr>
                <w:color w:val="auto"/>
              </w:rPr>
              <w:t>洗砂废水中主要污染物为SS，</w:t>
            </w:r>
            <w:r>
              <w:rPr>
                <w:rFonts w:hint="eastAsia"/>
                <w:color w:val="auto"/>
              </w:rPr>
              <w:t>水罐</w:t>
            </w:r>
            <w:r>
              <w:rPr>
                <w:color w:val="auto"/>
              </w:rPr>
              <w:t>对SS的去除效率可达60%，故SS经</w:t>
            </w:r>
            <w:r>
              <w:rPr>
                <w:rFonts w:hint="eastAsia"/>
                <w:color w:val="auto"/>
              </w:rPr>
              <w:t>水罐</w:t>
            </w:r>
            <w:r>
              <w:rPr>
                <w:color w:val="auto"/>
              </w:rPr>
              <w:t>沉淀处理后上清液可继续回用于洗砂工序。</w:t>
            </w:r>
            <w:r>
              <w:rPr>
                <w:rFonts w:hint="eastAsia"/>
                <w:color w:val="auto"/>
              </w:rPr>
              <w:t>水罐</w:t>
            </w:r>
            <w:r>
              <w:rPr>
                <w:color w:val="auto"/>
              </w:rPr>
              <w:t>规格：</w:t>
            </w:r>
            <w:r>
              <w:rPr>
                <w:rFonts w:hint="eastAsia"/>
                <w:color w:val="auto"/>
              </w:rPr>
              <w:t>14</w:t>
            </w:r>
            <w:r>
              <w:rPr>
                <w:color w:val="auto"/>
              </w:rPr>
              <w:t>m×</w:t>
            </w:r>
            <w:r>
              <w:rPr>
                <w:rFonts w:hint="eastAsia"/>
                <w:color w:val="auto"/>
              </w:rPr>
              <w:t>2.5</w:t>
            </w:r>
            <w:r>
              <w:rPr>
                <w:color w:val="auto"/>
              </w:rPr>
              <w:t>m×</w:t>
            </w:r>
            <w:r>
              <w:rPr>
                <w:rFonts w:hint="eastAsia"/>
                <w:color w:val="auto"/>
              </w:rPr>
              <w:t>4</w:t>
            </w:r>
            <w:r>
              <w:rPr>
                <w:color w:val="auto"/>
              </w:rPr>
              <w:t>m，</w:t>
            </w:r>
            <w:r>
              <w:rPr>
                <w:rFonts w:hint="eastAsia"/>
                <w:color w:val="auto"/>
              </w:rPr>
              <w:t>水罐下有专门的排泥口，沉淀污泥通过排泥口排出，采用履带式压滤机进行脱水，脱水的泥饼含水率小于60%，分离出来的水回流入水罐内</w:t>
            </w:r>
            <w:r>
              <w:rPr>
                <w:color w:val="auto"/>
              </w:rPr>
              <w:t>。</w:t>
            </w:r>
            <w:r>
              <w:rPr>
                <w:rFonts w:hint="eastAsia"/>
                <w:color w:val="auto"/>
              </w:rPr>
              <w:t>净水池规格：34.2</w:t>
            </w:r>
            <w:r>
              <w:rPr>
                <w:color w:val="auto"/>
              </w:rPr>
              <w:t>m×</w:t>
            </w:r>
            <w:r>
              <w:rPr>
                <w:rFonts w:hint="eastAsia"/>
                <w:color w:val="auto"/>
              </w:rPr>
              <w:t>12</w:t>
            </w:r>
            <w:r>
              <w:rPr>
                <w:color w:val="auto"/>
              </w:rPr>
              <w:t>m×</w:t>
            </w:r>
            <w:r>
              <w:rPr>
                <w:rFonts w:hint="eastAsia"/>
                <w:color w:val="auto"/>
              </w:rPr>
              <w:t>1.5</w:t>
            </w:r>
            <w:r>
              <w:rPr>
                <w:color w:val="auto"/>
              </w:rPr>
              <w:t>m，防渗采用三合土铺底，再在上层铺15～20cm的水泥浇底，四周壁用混凝土结构，防渗系数≤1.0×10</w:t>
            </w:r>
            <w:r>
              <w:rPr>
                <w:color w:val="auto"/>
                <w:vertAlign w:val="superscript"/>
              </w:rPr>
              <w:t>-7</w:t>
            </w:r>
            <w:r>
              <w:rPr>
                <w:color w:val="auto"/>
              </w:rPr>
              <w:t>m/s。</w:t>
            </w:r>
          </w:p>
          <w:p w14:paraId="5F3F6548">
            <w:pPr>
              <w:adjustRightInd w:val="0"/>
              <w:snapToGrid w:val="0"/>
              <w:spacing w:line="360" w:lineRule="auto"/>
              <w:rPr>
                <w:rFonts w:cs="宋体"/>
                <w:color w:val="auto"/>
              </w:rPr>
            </w:pPr>
            <w:r>
              <w:rPr>
                <w:rFonts w:hint="eastAsia" w:cs="宋体"/>
                <w:color w:val="auto"/>
              </w:rPr>
              <w:t>2、废气</w:t>
            </w:r>
          </w:p>
          <w:p w14:paraId="6473284C">
            <w:pPr>
              <w:widowControl/>
              <w:shd w:val="clear" w:color="auto" w:fill="FFFFFF"/>
              <w:adjustRightInd w:val="0"/>
              <w:snapToGrid w:val="0"/>
              <w:spacing w:line="360" w:lineRule="auto"/>
              <w:ind w:firstLine="420" w:firstLineChars="200"/>
              <w:jc w:val="left"/>
              <w:rPr>
                <w:color w:val="auto"/>
              </w:rPr>
            </w:pPr>
            <w:r>
              <w:rPr>
                <w:rFonts w:hint="eastAsia"/>
                <w:color w:val="auto"/>
              </w:rPr>
              <w:t>项目生产过程中产生的废气为堆场扬尘、装卸扬尘、运输扬尘、上料粉尘、输送粉尘、破碎粉尘。</w:t>
            </w:r>
          </w:p>
          <w:p w14:paraId="5719C9E8">
            <w:pPr>
              <w:adjustRightInd w:val="0"/>
              <w:snapToGrid w:val="0"/>
              <w:spacing w:line="360" w:lineRule="auto"/>
              <w:rPr>
                <w:color w:val="auto"/>
              </w:rPr>
            </w:pPr>
            <w:r>
              <w:rPr>
                <w:rFonts w:hint="eastAsia"/>
                <w:color w:val="auto"/>
              </w:rPr>
              <w:t>2</w:t>
            </w:r>
            <w:r>
              <w:rPr>
                <w:color w:val="auto"/>
              </w:rPr>
              <w:t xml:space="preserve">.1 </w:t>
            </w:r>
            <w:r>
              <w:rPr>
                <w:rFonts w:hint="eastAsia"/>
                <w:color w:val="auto"/>
              </w:rPr>
              <w:t>源强核算</w:t>
            </w:r>
          </w:p>
          <w:p w14:paraId="368A33D4">
            <w:pPr>
              <w:snapToGrid w:val="0"/>
              <w:spacing w:line="360" w:lineRule="auto"/>
              <w:ind w:firstLine="420" w:firstLineChars="200"/>
              <w:rPr>
                <w:rFonts w:hint="eastAsia" w:eastAsia="宋体"/>
                <w:i/>
                <w:iCs/>
                <w:color w:val="auto"/>
                <w:highlight w:val="none"/>
                <w:u w:val="single"/>
                <w:lang w:eastAsia="zh-CN"/>
              </w:rPr>
            </w:pPr>
            <w:r>
              <w:rPr>
                <w:rFonts w:hint="eastAsia"/>
                <w:i/>
                <w:iCs/>
                <w:color w:val="auto"/>
                <w:highlight w:val="none"/>
                <w:u w:val="single"/>
              </w:rPr>
              <w:t>（</w:t>
            </w:r>
            <w:r>
              <w:rPr>
                <w:i/>
                <w:iCs/>
                <w:color w:val="auto"/>
                <w:highlight w:val="none"/>
                <w:u w:val="single"/>
              </w:rPr>
              <w:t>1</w:t>
            </w:r>
            <w:r>
              <w:rPr>
                <w:rFonts w:hint="eastAsia"/>
                <w:i/>
                <w:iCs/>
                <w:color w:val="auto"/>
                <w:highlight w:val="none"/>
                <w:u w:val="single"/>
              </w:rPr>
              <w:t>）</w:t>
            </w:r>
            <w:r>
              <w:rPr>
                <w:i/>
                <w:iCs/>
                <w:color w:val="auto"/>
                <w:highlight w:val="none"/>
                <w:u w:val="single"/>
              </w:rPr>
              <w:t>堆场</w:t>
            </w:r>
            <w:r>
              <w:rPr>
                <w:rFonts w:hint="eastAsia"/>
                <w:i/>
                <w:iCs/>
                <w:color w:val="auto"/>
                <w:highlight w:val="none"/>
                <w:u w:val="single"/>
                <w:lang w:val="en-US" w:eastAsia="zh-CN"/>
              </w:rPr>
              <w:t>扬尘</w:t>
            </w:r>
          </w:p>
          <w:p w14:paraId="5B055DB4">
            <w:pPr>
              <w:pStyle w:val="8"/>
              <w:autoSpaceDE/>
              <w:autoSpaceDN/>
              <w:spacing w:line="360" w:lineRule="auto"/>
              <w:ind w:firstLine="480"/>
              <w:rPr>
                <w:rFonts w:hint="default" w:ascii="Times New Roman" w:hAnsi="Times New Roman" w:cs="Times New Roman"/>
                <w:i/>
                <w:iCs/>
                <w:color w:val="auto"/>
                <w:sz w:val="21"/>
                <w:szCs w:val="21"/>
                <w:highlight w:val="none"/>
                <w:u w:val="single"/>
                <w:lang w:val="en-US" w:eastAsia="zh-CN"/>
              </w:rPr>
            </w:pPr>
            <w:r>
              <w:rPr>
                <w:rFonts w:hint="eastAsia" w:ascii="Times New Roman" w:hAnsi="Times New Roman" w:cs="Times New Roman"/>
                <w:i/>
                <w:iCs/>
                <w:color w:val="auto"/>
                <w:sz w:val="21"/>
                <w:szCs w:val="21"/>
                <w:highlight w:val="none"/>
                <w:u w:val="single"/>
                <w:lang w:val="en-US" w:eastAsia="zh-CN"/>
              </w:rPr>
              <w:t>工业企业固体物料堆存颗粒物包括装卸场尘和风蚀扬尘，</w:t>
            </w:r>
            <w:r>
              <w:rPr>
                <w:rFonts w:ascii="Times New Roman" w:hAnsi="Times New Roman" w:cs="Times New Roman"/>
                <w:i/>
                <w:iCs/>
                <w:color w:val="auto"/>
                <w:sz w:val="21"/>
                <w:szCs w:val="21"/>
                <w:highlight w:val="none"/>
                <w:u w:val="single"/>
              </w:rPr>
              <w:t>堆场</w:t>
            </w:r>
            <w:r>
              <w:rPr>
                <w:rFonts w:hint="eastAsia" w:ascii="Times New Roman" w:hAnsi="Times New Roman" w:cs="Times New Roman"/>
                <w:i/>
                <w:iCs/>
                <w:color w:val="auto"/>
                <w:sz w:val="21"/>
                <w:szCs w:val="21"/>
                <w:highlight w:val="none"/>
                <w:u w:val="single"/>
                <w:lang w:val="en-US" w:eastAsia="zh-CN"/>
              </w:rPr>
              <w:t>颗粒物产生量核算</w:t>
            </w:r>
            <w:r>
              <w:rPr>
                <w:rFonts w:ascii="Times New Roman" w:hAnsi="Times New Roman" w:cs="Times New Roman"/>
                <w:i/>
                <w:iCs/>
                <w:color w:val="auto"/>
                <w:sz w:val="21"/>
                <w:szCs w:val="21"/>
                <w:highlight w:val="none"/>
                <w:u w:val="single"/>
              </w:rPr>
              <w:t>采</w:t>
            </w:r>
            <w:r>
              <w:rPr>
                <w:rFonts w:hint="eastAsia" w:ascii="Times New Roman" w:hAnsi="Times New Roman" w:cs="Times New Roman"/>
                <w:i/>
                <w:iCs/>
                <w:color w:val="auto"/>
                <w:sz w:val="21"/>
                <w:szCs w:val="21"/>
                <w:highlight w:val="none"/>
                <w:u w:val="single"/>
                <w:lang w:val="en-US" w:eastAsia="zh-CN"/>
              </w:rPr>
              <w:t>用关于发布《排放源统计调查产排污核算方法和系数手册》的公告（公告2021年第24号）中附表2：固体物料堆存颗粒物产排污核算系数手册中颗粒物产生量核算公式：</w:t>
            </w:r>
          </w:p>
          <w:p w14:paraId="0F1951B5">
            <w:pPr>
              <w:jc w:val="center"/>
              <w:rPr>
                <w:rFonts w:hint="eastAsia" w:ascii="Times New Roman" w:hAnsi="Times New Roman" w:cs="Times New Roman"/>
                <w:i/>
                <w:iCs/>
                <w:color w:val="auto"/>
                <w:sz w:val="21"/>
                <w:szCs w:val="21"/>
                <w:highlight w:val="none"/>
                <w:u w:val="single"/>
                <w:lang w:val="en-US" w:eastAsia="zh-CN"/>
              </w:rPr>
            </w:pPr>
            <w:r>
              <w:rPr>
                <w:i/>
                <w:iCs/>
                <w:color w:val="auto"/>
                <w:highlight w:val="none"/>
                <w:u w:val="single"/>
              </w:rPr>
              <w:drawing>
                <wp:inline distT="0" distB="0" distL="114300" distR="114300">
                  <wp:extent cx="3693160" cy="3048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3693160" cy="304800"/>
                          </a:xfrm>
                          <a:prstGeom prst="rect">
                            <a:avLst/>
                          </a:prstGeom>
                          <a:noFill/>
                          <a:ln>
                            <a:noFill/>
                          </a:ln>
                        </pic:spPr>
                      </pic:pic>
                    </a:graphicData>
                  </a:graphic>
                </wp:inline>
              </w:drawing>
            </w:r>
          </w:p>
          <w:p w14:paraId="5E6D53CA">
            <w:pPr>
              <w:snapToGrid w:val="0"/>
              <w:spacing w:line="360" w:lineRule="auto"/>
              <w:ind w:firstLine="412" w:firstLineChars="200"/>
              <w:rPr>
                <w:rFonts w:hint="eastAsia"/>
                <w:i/>
                <w:iCs/>
                <w:color w:val="auto"/>
                <w:spacing w:val="-2"/>
                <w:position w:val="2"/>
                <w:highlight w:val="none"/>
                <w:u w:val="single"/>
                <w:lang w:val="en-US" w:eastAsia="zh-CN"/>
              </w:rPr>
            </w:pPr>
            <w:r>
              <w:rPr>
                <w:rFonts w:hint="eastAsia"/>
                <w:i/>
                <w:iCs/>
                <w:color w:val="auto"/>
                <w:spacing w:val="-2"/>
                <w:position w:val="2"/>
                <w:highlight w:val="none"/>
                <w:u w:val="single"/>
                <w:lang w:val="en-US" w:eastAsia="zh-CN"/>
              </w:rPr>
              <w:t>式中：P指颗粒物产生量（单位：吨）；</w:t>
            </w:r>
          </w:p>
          <w:p w14:paraId="57B391CE">
            <w:pPr>
              <w:snapToGrid w:val="0"/>
              <w:spacing w:line="360" w:lineRule="auto"/>
              <w:ind w:firstLine="1030" w:firstLineChars="500"/>
              <w:rPr>
                <w:rFonts w:hint="eastAsia"/>
                <w:i/>
                <w:iCs/>
                <w:color w:val="auto"/>
                <w:spacing w:val="-2"/>
                <w:position w:val="2"/>
                <w:highlight w:val="none"/>
                <w:u w:val="single"/>
                <w:lang w:val="en-US" w:eastAsia="zh-CN"/>
              </w:rPr>
            </w:pPr>
            <w:r>
              <w:rPr>
                <w:rFonts w:hint="eastAsia"/>
                <w:i/>
                <w:iCs/>
                <w:color w:val="auto"/>
                <w:spacing w:val="-2"/>
                <w:position w:val="2"/>
                <w:highlight w:val="none"/>
                <w:u w:val="single"/>
                <w:lang w:val="en-US" w:eastAsia="zh-CN"/>
              </w:rPr>
              <w:t>ZC</w:t>
            </w:r>
            <w:r>
              <w:rPr>
                <w:rFonts w:hint="eastAsia"/>
                <w:i/>
                <w:iCs/>
                <w:color w:val="auto"/>
                <w:spacing w:val="-2"/>
                <w:position w:val="2"/>
                <w:highlight w:val="none"/>
                <w:u w:val="single"/>
                <w:vertAlign w:val="subscript"/>
                <w:lang w:val="en-US" w:eastAsia="zh-CN"/>
              </w:rPr>
              <w:t>y</w:t>
            </w:r>
            <w:r>
              <w:rPr>
                <w:rFonts w:hint="eastAsia"/>
                <w:i/>
                <w:iCs/>
                <w:color w:val="auto"/>
                <w:spacing w:val="-2"/>
                <w:position w:val="2"/>
                <w:highlight w:val="none"/>
                <w:u w:val="single"/>
                <w:lang w:val="en-US" w:eastAsia="zh-CN"/>
              </w:rPr>
              <w:t>指装卸扬尘产生量（单位：吨）；</w:t>
            </w:r>
          </w:p>
          <w:p w14:paraId="2E1152B1">
            <w:pPr>
              <w:snapToGrid w:val="0"/>
              <w:spacing w:line="360" w:lineRule="auto"/>
              <w:ind w:firstLine="1030" w:firstLineChars="500"/>
              <w:rPr>
                <w:rFonts w:hint="eastAsia"/>
                <w:i/>
                <w:iCs/>
                <w:color w:val="auto"/>
                <w:spacing w:val="-2"/>
                <w:position w:val="2"/>
                <w:highlight w:val="none"/>
                <w:u w:val="single"/>
                <w:lang w:val="en-US" w:eastAsia="zh-CN"/>
              </w:rPr>
            </w:pPr>
            <w:r>
              <w:rPr>
                <w:rFonts w:hint="eastAsia"/>
                <w:i/>
                <w:iCs/>
                <w:color w:val="auto"/>
                <w:spacing w:val="-2"/>
                <w:position w:val="2"/>
                <w:highlight w:val="none"/>
                <w:u w:val="single"/>
                <w:lang w:val="en-US" w:eastAsia="zh-CN"/>
              </w:rPr>
              <w:t>FC</w:t>
            </w:r>
            <w:r>
              <w:rPr>
                <w:rFonts w:hint="eastAsia"/>
                <w:i/>
                <w:iCs/>
                <w:color w:val="auto"/>
                <w:spacing w:val="-2"/>
                <w:position w:val="2"/>
                <w:highlight w:val="none"/>
                <w:u w:val="single"/>
                <w:vertAlign w:val="subscript"/>
                <w:lang w:val="en-US" w:eastAsia="zh-CN"/>
              </w:rPr>
              <w:t>y</w:t>
            </w:r>
            <w:r>
              <w:rPr>
                <w:rFonts w:hint="eastAsia"/>
                <w:i/>
                <w:iCs/>
                <w:color w:val="auto"/>
                <w:spacing w:val="-2"/>
                <w:position w:val="2"/>
                <w:highlight w:val="none"/>
                <w:u w:val="single"/>
                <w:lang w:val="en-US" w:eastAsia="zh-CN"/>
              </w:rPr>
              <w:t>指风蚀扬尘产生量（单位：吨）；</w:t>
            </w:r>
          </w:p>
          <w:p w14:paraId="5D5040F1">
            <w:pPr>
              <w:snapToGrid w:val="0"/>
              <w:spacing w:line="360" w:lineRule="auto"/>
              <w:ind w:firstLine="1030" w:firstLineChars="500"/>
              <w:rPr>
                <w:rFonts w:hint="default"/>
                <w:i/>
                <w:iCs/>
                <w:color w:val="auto"/>
                <w:spacing w:val="-2"/>
                <w:position w:val="2"/>
                <w:highlight w:val="none"/>
                <w:u w:val="single"/>
                <w:lang w:val="en-US" w:eastAsia="zh-CN"/>
              </w:rPr>
            </w:pPr>
            <w:r>
              <w:rPr>
                <w:rFonts w:hint="eastAsia"/>
                <w:i/>
                <w:iCs/>
                <w:color w:val="auto"/>
                <w:spacing w:val="-2"/>
                <w:position w:val="2"/>
                <w:highlight w:val="none"/>
                <w:u w:val="single"/>
                <w:lang w:val="en-US" w:eastAsia="zh-CN"/>
              </w:rPr>
              <w:t>Nc指年物料运载车次（单位：车），本项目取值为3225次/年；</w:t>
            </w:r>
          </w:p>
          <w:p w14:paraId="7BD0CB55">
            <w:pPr>
              <w:snapToGrid w:val="0"/>
              <w:spacing w:line="360" w:lineRule="auto"/>
              <w:ind w:firstLine="1030" w:firstLineChars="500"/>
              <w:rPr>
                <w:rFonts w:hint="default"/>
                <w:i/>
                <w:iCs/>
                <w:color w:val="auto"/>
                <w:spacing w:val="-2"/>
                <w:position w:val="2"/>
                <w:highlight w:val="none"/>
                <w:u w:val="single"/>
                <w:lang w:val="en-US" w:eastAsia="zh-CN"/>
              </w:rPr>
            </w:pPr>
            <w:r>
              <w:rPr>
                <w:rFonts w:hint="eastAsia"/>
                <w:i/>
                <w:iCs/>
                <w:color w:val="auto"/>
                <w:spacing w:val="-2"/>
                <w:position w:val="2"/>
                <w:highlight w:val="none"/>
                <w:u w:val="single"/>
                <w:lang w:val="en-US" w:eastAsia="zh-CN"/>
              </w:rPr>
              <w:t>D指单车平均运载量（单位：吨/车），本项目取值为20吨/车；</w:t>
            </w:r>
          </w:p>
          <w:p w14:paraId="10AB21C3">
            <w:pPr>
              <w:snapToGrid w:val="0"/>
              <w:spacing w:line="360" w:lineRule="auto"/>
              <w:ind w:firstLine="824" w:firstLineChars="400"/>
              <w:rPr>
                <w:rFonts w:hint="eastAsia"/>
                <w:i/>
                <w:iCs/>
                <w:color w:val="auto"/>
                <w:spacing w:val="-2"/>
                <w:position w:val="2"/>
                <w:highlight w:val="none"/>
                <w:u w:val="single"/>
                <w:lang w:val="en-US" w:eastAsia="zh-CN"/>
              </w:rPr>
            </w:pPr>
            <w:r>
              <w:rPr>
                <w:rFonts w:hint="eastAsia"/>
                <w:i/>
                <w:iCs/>
                <w:color w:val="auto"/>
                <w:spacing w:val="-2"/>
                <w:position w:val="2"/>
                <w:highlight w:val="none"/>
                <w:u w:val="single"/>
                <w:lang w:val="en-US" w:eastAsia="zh-CN"/>
              </w:rPr>
              <w:t>（a/b）指装卸扬尘概化系数（单位：千克/吨），a 指各省风速概化系数，见附录1，本项目取值为0.0013；b指物料含水率概化系数，见附录 2，本项目取值为0.0001；</w:t>
            </w:r>
          </w:p>
          <w:p w14:paraId="16751232">
            <w:pPr>
              <w:snapToGrid w:val="0"/>
              <w:spacing w:line="360" w:lineRule="auto"/>
              <w:ind w:firstLine="1030" w:firstLineChars="500"/>
              <w:rPr>
                <w:rFonts w:hint="eastAsia"/>
                <w:i/>
                <w:iCs/>
                <w:color w:val="auto"/>
                <w:spacing w:val="-2"/>
                <w:position w:val="2"/>
                <w:highlight w:val="none"/>
                <w:u w:val="single"/>
                <w:lang w:val="en-US" w:eastAsia="zh-CN"/>
              </w:rPr>
            </w:pPr>
            <w:r>
              <w:rPr>
                <w:rFonts w:hint="eastAsia"/>
                <w:i/>
                <w:iCs/>
                <w:color w:val="auto"/>
                <w:spacing w:val="-2"/>
                <w:position w:val="2"/>
                <w:highlight w:val="none"/>
                <w:u w:val="single"/>
                <w:lang w:val="en-US" w:eastAsia="zh-CN"/>
              </w:rPr>
              <w:t>E</w:t>
            </w:r>
            <w:r>
              <w:rPr>
                <w:rFonts w:hint="eastAsia"/>
                <w:i/>
                <w:iCs/>
                <w:color w:val="auto"/>
                <w:spacing w:val="-2"/>
                <w:position w:val="2"/>
                <w:highlight w:val="none"/>
                <w:u w:val="single"/>
                <w:vertAlign w:val="subscript"/>
                <w:lang w:val="en-US" w:eastAsia="zh-CN"/>
              </w:rPr>
              <w:t>f</w:t>
            </w:r>
            <w:r>
              <w:rPr>
                <w:rFonts w:hint="eastAsia"/>
                <w:i/>
                <w:iCs/>
                <w:color w:val="auto"/>
                <w:spacing w:val="-2"/>
                <w:position w:val="2"/>
                <w:highlight w:val="none"/>
                <w:u w:val="single"/>
                <w:lang w:val="en-US" w:eastAsia="zh-CN"/>
              </w:rPr>
              <w:t>：指堆场风蚀扬尘概化系数，见附录3（单位：千克/平方米），本项目取值为8.5848；</w:t>
            </w:r>
          </w:p>
          <w:p w14:paraId="09D9FA02">
            <w:pPr>
              <w:snapToGrid w:val="0"/>
              <w:spacing w:line="360" w:lineRule="auto"/>
              <w:ind w:firstLine="1030" w:firstLineChars="500"/>
              <w:rPr>
                <w:rFonts w:hint="default"/>
                <w:i/>
                <w:iCs/>
                <w:color w:val="auto"/>
                <w:spacing w:val="-2"/>
                <w:position w:val="2"/>
                <w:highlight w:val="none"/>
                <w:u w:val="single"/>
                <w:lang w:val="en-US" w:eastAsia="zh-CN"/>
              </w:rPr>
            </w:pPr>
            <w:r>
              <w:rPr>
                <w:rFonts w:hint="eastAsia"/>
                <w:i/>
                <w:iCs/>
                <w:color w:val="auto"/>
                <w:spacing w:val="-2"/>
                <w:position w:val="2"/>
                <w:highlight w:val="none"/>
                <w:u w:val="single"/>
                <w:lang w:val="en-US" w:eastAsia="zh-CN"/>
              </w:rPr>
              <w:t>S：指堆场占地面积（单位：平方米），项目堆场面积为2000m</w:t>
            </w:r>
            <w:r>
              <w:rPr>
                <w:rFonts w:hint="eastAsia"/>
                <w:i/>
                <w:iCs/>
                <w:color w:val="auto"/>
                <w:spacing w:val="-2"/>
                <w:position w:val="2"/>
                <w:highlight w:val="none"/>
                <w:u w:val="single"/>
                <w:vertAlign w:val="superscript"/>
                <w:lang w:val="en-US" w:eastAsia="zh-CN"/>
              </w:rPr>
              <w:t>2</w:t>
            </w:r>
            <w:r>
              <w:rPr>
                <w:rFonts w:hint="eastAsia"/>
                <w:i/>
                <w:iCs/>
                <w:color w:val="auto"/>
                <w:spacing w:val="-2"/>
                <w:position w:val="2"/>
                <w:highlight w:val="none"/>
                <w:u w:val="single"/>
                <w:lang w:val="en-US" w:eastAsia="zh-CN"/>
              </w:rPr>
              <w:t>。</w:t>
            </w:r>
          </w:p>
          <w:p w14:paraId="4480D4F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i/>
                <w:iCs/>
                <w:color w:val="auto"/>
                <w:sz w:val="21"/>
                <w:szCs w:val="21"/>
                <w:highlight w:val="none"/>
                <w:u w:val="single"/>
                <w:lang w:val="en-US" w:eastAsia="zh-CN"/>
              </w:rPr>
            </w:pPr>
            <w:r>
              <w:rPr>
                <w:rFonts w:hint="eastAsia" w:cs="Times New Roman"/>
                <w:i/>
                <w:iCs/>
                <w:color w:val="auto"/>
                <w:sz w:val="21"/>
                <w:szCs w:val="21"/>
                <w:highlight w:val="none"/>
                <w:u w:val="single"/>
                <w:lang w:val="en-US" w:eastAsia="zh-CN"/>
              </w:rPr>
              <w:t>经计算，颗粒物产生量为872.8392t/a，采用围挡、地面硬化、洒水降尘并采用苫布覆盖等措施。</w:t>
            </w:r>
          </w:p>
          <w:p w14:paraId="3606282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i/>
                <w:iCs/>
                <w:color w:val="auto"/>
                <w:sz w:val="21"/>
                <w:szCs w:val="21"/>
                <w:highlight w:val="none"/>
                <w:u w:val="single"/>
                <w:lang w:val="en-US" w:eastAsia="zh-CN"/>
              </w:rPr>
            </w:pPr>
            <w:r>
              <w:rPr>
                <w:rFonts w:hint="eastAsia" w:cs="Times New Roman"/>
                <w:i/>
                <w:iCs/>
                <w:color w:val="auto"/>
                <w:sz w:val="21"/>
                <w:szCs w:val="21"/>
                <w:highlight w:val="none"/>
                <w:u w:val="single"/>
                <w:lang w:val="en-US" w:eastAsia="zh-CN"/>
              </w:rPr>
              <w:t>颗粒物的排放量按照《</w:t>
            </w:r>
            <w:r>
              <w:rPr>
                <w:rFonts w:hint="eastAsia" w:ascii="Times New Roman" w:hAnsi="Times New Roman" w:cs="Times New Roman"/>
                <w:i/>
                <w:iCs/>
                <w:color w:val="auto"/>
                <w:sz w:val="21"/>
                <w:szCs w:val="21"/>
                <w:highlight w:val="none"/>
                <w:u w:val="single"/>
                <w:lang w:val="en-US" w:eastAsia="zh-CN"/>
              </w:rPr>
              <w:t>固体物料堆存颗粒物产排污核算系数手册</w:t>
            </w:r>
            <w:r>
              <w:rPr>
                <w:rFonts w:hint="eastAsia" w:cs="Times New Roman"/>
                <w:i/>
                <w:iCs/>
                <w:color w:val="auto"/>
                <w:sz w:val="21"/>
                <w:szCs w:val="21"/>
                <w:highlight w:val="none"/>
                <w:u w:val="single"/>
                <w:lang w:val="en-US" w:eastAsia="zh-CN"/>
              </w:rPr>
              <w:t>》中颗粒物排放量核算公式：</w:t>
            </w:r>
          </w:p>
          <w:p w14:paraId="6EDF8F6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i/>
                <w:iCs/>
                <w:color w:val="auto"/>
                <w:sz w:val="21"/>
                <w:szCs w:val="21"/>
                <w:highlight w:val="none"/>
                <w:u w:val="single"/>
                <w:lang w:val="en-US" w:eastAsia="zh-CN"/>
              </w:rPr>
            </w:pPr>
            <w:r>
              <w:rPr>
                <w:i/>
                <w:iCs/>
                <w:color w:val="auto"/>
                <w:highlight w:val="none"/>
                <w:u w:val="single"/>
              </w:rPr>
              <w:drawing>
                <wp:inline distT="0" distB="0" distL="114300" distR="114300">
                  <wp:extent cx="4074160" cy="1911350"/>
                  <wp:effectExtent l="0" t="0" r="2540" b="1270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3"/>
                          <a:stretch>
                            <a:fillRect/>
                          </a:stretch>
                        </pic:blipFill>
                        <pic:spPr>
                          <a:xfrm>
                            <a:off x="0" y="0"/>
                            <a:ext cx="4074160" cy="1911350"/>
                          </a:xfrm>
                          <a:prstGeom prst="rect">
                            <a:avLst/>
                          </a:prstGeom>
                          <a:noFill/>
                          <a:ln>
                            <a:noFill/>
                          </a:ln>
                        </pic:spPr>
                      </pic:pic>
                    </a:graphicData>
                  </a:graphic>
                </wp:inline>
              </w:drawing>
            </w:r>
          </w:p>
          <w:p w14:paraId="4925C5B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i/>
                <w:iCs/>
                <w:color w:val="auto"/>
                <w:kern w:val="2"/>
                <w:highlight w:val="none"/>
                <w:u w:val="single"/>
              </w:rPr>
            </w:pPr>
            <w:r>
              <w:rPr>
                <w:rFonts w:hint="eastAsia" w:cs="Times New Roman"/>
                <w:i/>
                <w:iCs/>
                <w:color w:val="auto"/>
                <w:sz w:val="21"/>
                <w:szCs w:val="21"/>
                <w:highlight w:val="none"/>
                <w:u w:val="single"/>
                <w:lang w:val="en-US" w:eastAsia="zh-CN"/>
              </w:rPr>
              <w:t>根据附录4：洒水措施控制效率为60%，围挡控制效率为74%，编织覆盖效率为86%，故项目的颗粒物排放量为12.7085t/a</w:t>
            </w:r>
            <w:r>
              <w:rPr>
                <w:i/>
                <w:iCs/>
                <w:color w:val="auto"/>
                <w:kern w:val="2"/>
                <w:highlight w:val="none"/>
                <w:u w:val="single"/>
              </w:rPr>
              <w:t xml:space="preserve">，排放速率为 </w:t>
            </w:r>
            <w:r>
              <w:rPr>
                <w:rFonts w:hint="eastAsia"/>
                <w:i/>
                <w:iCs/>
                <w:color w:val="auto"/>
                <w:kern w:val="2"/>
                <w:highlight w:val="none"/>
                <w:u w:val="single"/>
                <w:lang w:val="en-US" w:eastAsia="zh-CN"/>
              </w:rPr>
              <w:t>3.97</w:t>
            </w:r>
            <w:r>
              <w:rPr>
                <w:i/>
                <w:iCs/>
                <w:color w:val="auto"/>
                <w:kern w:val="2"/>
                <w:highlight w:val="none"/>
                <w:u w:val="single"/>
              </w:rPr>
              <w:t>kg/h。</w:t>
            </w:r>
          </w:p>
          <w:p w14:paraId="02C67E38">
            <w:pPr>
              <w:snapToGrid w:val="0"/>
              <w:spacing w:line="360" w:lineRule="auto"/>
              <w:ind w:firstLine="420" w:firstLineChars="200"/>
              <w:rPr>
                <w:color w:val="auto"/>
                <w:highlight w:val="none"/>
              </w:rPr>
            </w:pPr>
            <w:r>
              <w:rPr>
                <w:rFonts w:hint="eastAsia"/>
                <w:i/>
                <w:iCs/>
                <w:color w:val="auto"/>
                <w:highlight w:val="none"/>
                <w:u w:val="single"/>
              </w:rPr>
              <w:t>原料/成品采用专用运输卡车，严禁敞篷运输，设置篷布遮盖并罩上防尘网，降低车速，减少运输过程中产生的粉尘，并防止物料掉落；经过村屯减速慢行。</w:t>
            </w:r>
          </w:p>
          <w:p w14:paraId="6F08A5F4">
            <w:pPr>
              <w:snapToGrid w:val="0"/>
              <w:spacing w:line="360" w:lineRule="auto"/>
              <w:ind w:firstLine="420" w:firstLineChars="200"/>
              <w:rPr>
                <w:color w:val="auto"/>
              </w:rPr>
            </w:pPr>
            <w:r>
              <w:rPr>
                <w:rFonts w:hint="eastAsia"/>
                <w:color w:val="auto"/>
              </w:rPr>
              <w:t>（</w:t>
            </w:r>
            <w:r>
              <w:rPr>
                <w:rFonts w:hint="eastAsia"/>
                <w:color w:val="auto"/>
                <w:lang w:val="en-US" w:eastAsia="zh-CN"/>
              </w:rPr>
              <w:t>2</w:t>
            </w:r>
            <w:r>
              <w:rPr>
                <w:rFonts w:hint="eastAsia"/>
                <w:color w:val="auto"/>
              </w:rPr>
              <w:t>）</w:t>
            </w:r>
            <w:r>
              <w:rPr>
                <w:color w:val="auto"/>
              </w:rPr>
              <w:t>上料粉尘</w:t>
            </w:r>
          </w:p>
          <w:p w14:paraId="25A5B46E">
            <w:pPr>
              <w:snapToGrid w:val="0"/>
              <w:spacing w:line="360" w:lineRule="auto"/>
              <w:ind w:firstLine="420" w:firstLineChars="200"/>
              <w:rPr>
                <w:color w:val="auto"/>
              </w:rPr>
            </w:pPr>
            <w:r>
              <w:rPr>
                <w:color w:val="auto"/>
              </w:rPr>
              <w:t>上料过程会有少量粉尘产生，上料粉尘按原料用量的0.02‰计算，则上料粉尘产生量约为</w:t>
            </w:r>
            <w:r>
              <w:rPr>
                <w:rFonts w:hint="eastAsia"/>
                <w:color w:val="auto"/>
              </w:rPr>
              <w:t>1.29</w:t>
            </w:r>
            <w:r>
              <w:rPr>
                <w:color w:val="auto"/>
              </w:rPr>
              <w:t>t/a，企业在上料口采取水雾喷淋降尘措施，保证物料保持轻微潮湿状态，但无水滴漏，能有效减少粉尘产生量，降尘效率可达 80%，则上料粉尘无组织排放量为0.</w:t>
            </w:r>
            <w:r>
              <w:rPr>
                <w:rFonts w:hint="eastAsia"/>
                <w:color w:val="auto"/>
              </w:rPr>
              <w:t>258</w:t>
            </w:r>
            <w:r>
              <w:rPr>
                <w:color w:val="auto"/>
              </w:rPr>
              <w:t>t/a、排放速率为</w:t>
            </w:r>
            <w:r>
              <w:rPr>
                <w:rFonts w:hint="eastAsia"/>
                <w:color w:val="auto"/>
              </w:rPr>
              <w:t>0.0806</w:t>
            </w:r>
            <w:r>
              <w:rPr>
                <w:color w:val="auto"/>
              </w:rPr>
              <w:t>kg/h。</w:t>
            </w:r>
          </w:p>
          <w:p w14:paraId="3C753228">
            <w:pPr>
              <w:snapToGrid w:val="0"/>
              <w:spacing w:line="360" w:lineRule="auto"/>
              <w:ind w:firstLine="420" w:firstLineChars="200"/>
              <w:rPr>
                <w:color w:val="auto"/>
              </w:rPr>
            </w:pPr>
            <w:r>
              <w:rPr>
                <w:rFonts w:hint="eastAsia"/>
                <w:color w:val="auto"/>
              </w:rPr>
              <w:t>（</w:t>
            </w:r>
            <w:r>
              <w:rPr>
                <w:rFonts w:hint="eastAsia"/>
                <w:color w:val="auto"/>
                <w:lang w:val="en-US" w:eastAsia="zh-CN"/>
              </w:rPr>
              <w:t>3</w:t>
            </w:r>
            <w:r>
              <w:rPr>
                <w:rFonts w:hint="eastAsia"/>
                <w:color w:val="auto"/>
              </w:rPr>
              <w:t>）</w:t>
            </w:r>
            <w:r>
              <w:rPr>
                <w:color w:val="auto"/>
              </w:rPr>
              <w:t>运输扬尘</w:t>
            </w:r>
          </w:p>
          <w:p w14:paraId="408E8154">
            <w:pPr>
              <w:pStyle w:val="8"/>
              <w:autoSpaceDE/>
              <w:autoSpaceDN/>
              <w:spacing w:line="360" w:lineRule="auto"/>
              <w:ind w:firstLine="420" w:firstLineChars="200"/>
              <w:rPr>
                <w:rFonts w:ascii="Times New Roman" w:hAnsi="Times New Roman" w:cs="Times New Roman"/>
                <w:color w:val="auto"/>
                <w:sz w:val="21"/>
                <w:szCs w:val="21"/>
              </w:rPr>
            </w:pPr>
            <w:r>
              <w:rPr>
                <w:rFonts w:ascii="Times New Roman" w:hAnsi="Times New Roman" w:cs="Times New Roman"/>
                <w:color w:val="auto"/>
                <w:sz w:val="21"/>
                <w:szCs w:val="21"/>
              </w:rPr>
              <w:t>车辆行驶产生的扬尘，在道路完全干燥的情况下，可按下列经验公式计算：</w:t>
            </w:r>
          </w:p>
          <w:p w14:paraId="6926B54E">
            <w:pPr>
              <w:pStyle w:val="8"/>
              <w:autoSpaceDE/>
              <w:autoSpaceDN/>
              <w:spacing w:line="36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drawing>
                <wp:inline distT="0" distB="0" distL="114300" distR="114300">
                  <wp:extent cx="2047875" cy="466725"/>
                  <wp:effectExtent l="0" t="0" r="9525" b="9525"/>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14"/>
                          <a:stretch>
                            <a:fillRect/>
                          </a:stretch>
                        </pic:blipFill>
                        <pic:spPr>
                          <a:xfrm>
                            <a:off x="0" y="0"/>
                            <a:ext cx="2047875" cy="466725"/>
                          </a:xfrm>
                          <a:prstGeom prst="rect">
                            <a:avLst/>
                          </a:prstGeom>
                          <a:noFill/>
                          <a:ln>
                            <a:noFill/>
                          </a:ln>
                        </pic:spPr>
                      </pic:pic>
                    </a:graphicData>
                  </a:graphic>
                </wp:inline>
              </w:drawing>
            </w:r>
          </w:p>
          <w:p w14:paraId="533D0F18">
            <w:pPr>
              <w:pStyle w:val="8"/>
              <w:autoSpaceDE/>
              <w:autoSpaceDN/>
              <w:spacing w:line="360" w:lineRule="auto"/>
              <w:ind w:firstLine="416" w:firstLineChars="200"/>
              <w:rPr>
                <w:rFonts w:ascii="Times New Roman" w:hAnsi="Times New Roman" w:cs="Times New Roman"/>
                <w:color w:val="auto"/>
                <w:sz w:val="21"/>
                <w:szCs w:val="21"/>
              </w:rPr>
            </w:pPr>
            <w:r>
              <w:rPr>
                <w:rFonts w:ascii="Times New Roman" w:hAnsi="Times New Roman" w:cs="Times New Roman"/>
                <w:color w:val="auto"/>
                <w:spacing w:val="-1"/>
                <w:sz w:val="21"/>
                <w:szCs w:val="21"/>
              </w:rPr>
              <w:t>式中：</w:t>
            </w:r>
            <w:r>
              <w:rPr>
                <w:rFonts w:ascii="Times New Roman" w:hAnsi="Times New Roman" w:eastAsia="Times New Roman" w:cs="Times New Roman"/>
                <w:color w:val="auto"/>
                <w:spacing w:val="-1"/>
                <w:sz w:val="21"/>
                <w:szCs w:val="21"/>
              </w:rPr>
              <w:t>Q</w:t>
            </w:r>
            <w:r>
              <w:rPr>
                <w:rFonts w:hint="eastAsia" w:ascii="Times New Roman" w:hAnsi="Times New Roman" w:cs="Times New Roman"/>
                <w:color w:val="auto"/>
                <w:spacing w:val="-1"/>
                <w:sz w:val="21"/>
                <w:szCs w:val="21"/>
              </w:rPr>
              <w:t>：</w:t>
            </w:r>
            <w:r>
              <w:rPr>
                <w:rFonts w:ascii="Times New Roman" w:hAnsi="Times New Roman" w:cs="Times New Roman"/>
                <w:color w:val="auto"/>
                <w:spacing w:val="-1"/>
                <w:sz w:val="21"/>
                <w:szCs w:val="21"/>
              </w:rPr>
              <w:t>汽车行驶时的扬尘，</w:t>
            </w:r>
            <w:r>
              <w:rPr>
                <w:rFonts w:ascii="Times New Roman" w:hAnsi="Times New Roman" w:eastAsia="Times New Roman" w:cs="Times New Roman"/>
                <w:color w:val="auto"/>
                <w:spacing w:val="-1"/>
                <w:sz w:val="21"/>
                <w:szCs w:val="21"/>
              </w:rPr>
              <w:t>kg/km.</w:t>
            </w:r>
            <w:r>
              <w:rPr>
                <w:rFonts w:ascii="Times New Roman" w:hAnsi="Times New Roman" w:cs="Times New Roman"/>
                <w:color w:val="auto"/>
                <w:spacing w:val="-1"/>
                <w:sz w:val="21"/>
                <w:szCs w:val="21"/>
              </w:rPr>
              <w:t>辆；</w:t>
            </w:r>
          </w:p>
          <w:p w14:paraId="1F36C592">
            <w:pPr>
              <w:pStyle w:val="8"/>
              <w:autoSpaceDE/>
              <w:autoSpaceDN/>
              <w:spacing w:line="360" w:lineRule="auto"/>
              <w:ind w:firstLine="1040" w:firstLineChars="500"/>
              <w:rPr>
                <w:rFonts w:ascii="Times New Roman" w:hAnsi="Times New Roman" w:cs="Times New Roman"/>
                <w:color w:val="auto"/>
                <w:sz w:val="21"/>
                <w:szCs w:val="21"/>
              </w:rPr>
            </w:pPr>
            <w:r>
              <w:rPr>
                <w:rFonts w:ascii="Times New Roman" w:hAnsi="Times New Roman" w:eastAsia="Times New Roman" w:cs="Times New Roman"/>
                <w:color w:val="auto"/>
                <w:spacing w:val="-1"/>
                <w:sz w:val="21"/>
                <w:szCs w:val="21"/>
              </w:rPr>
              <w:t>V</w:t>
            </w:r>
            <w:r>
              <w:rPr>
                <w:rFonts w:hint="eastAsia" w:ascii="Times New Roman" w:hAnsi="Times New Roman" w:cs="Times New Roman"/>
                <w:color w:val="auto"/>
                <w:spacing w:val="-1"/>
                <w:sz w:val="21"/>
                <w:szCs w:val="21"/>
              </w:rPr>
              <w:t>：</w:t>
            </w:r>
            <w:r>
              <w:rPr>
                <w:rFonts w:ascii="Times New Roman" w:hAnsi="Times New Roman" w:cs="Times New Roman"/>
                <w:color w:val="auto"/>
                <w:spacing w:val="-1"/>
                <w:sz w:val="21"/>
                <w:szCs w:val="21"/>
              </w:rPr>
              <w:t>汽车速度，</w:t>
            </w:r>
            <w:r>
              <w:rPr>
                <w:rFonts w:ascii="Times New Roman" w:hAnsi="Times New Roman" w:eastAsia="Times New Roman" w:cs="Times New Roman"/>
                <w:color w:val="auto"/>
                <w:sz w:val="21"/>
                <w:szCs w:val="21"/>
              </w:rPr>
              <w:t>km/h</w:t>
            </w:r>
            <w:r>
              <w:rPr>
                <w:rFonts w:ascii="Times New Roman" w:hAnsi="Times New Roman" w:cs="Times New Roman"/>
                <w:color w:val="auto"/>
                <w:sz w:val="21"/>
                <w:szCs w:val="21"/>
              </w:rPr>
              <w:t>；</w:t>
            </w:r>
          </w:p>
          <w:p w14:paraId="7EFEB82D">
            <w:pPr>
              <w:pStyle w:val="8"/>
              <w:autoSpaceDE/>
              <w:autoSpaceDN/>
              <w:spacing w:line="360" w:lineRule="auto"/>
              <w:ind w:firstLine="1050" w:firstLineChars="500"/>
              <w:rPr>
                <w:rFonts w:ascii="Times New Roman" w:hAnsi="Times New Roman" w:cs="Times New Roman"/>
                <w:color w:val="auto"/>
                <w:sz w:val="21"/>
                <w:szCs w:val="21"/>
              </w:rPr>
            </w:pPr>
            <w:r>
              <w:rPr>
                <w:rFonts w:ascii="Times New Roman" w:hAnsi="Times New Roman" w:eastAsia="Times New Roman" w:cs="Times New Roman"/>
                <w:color w:val="auto"/>
                <w:sz w:val="21"/>
                <w:szCs w:val="21"/>
              </w:rPr>
              <w:t>W</w:t>
            </w:r>
            <w:r>
              <w:rPr>
                <w:rFonts w:hint="eastAsia" w:ascii="Times New Roman" w:hAnsi="Times New Roman" w:cs="Times New Roman"/>
                <w:color w:val="auto"/>
                <w:sz w:val="21"/>
                <w:szCs w:val="21"/>
              </w:rPr>
              <w:t>：</w:t>
            </w:r>
            <w:r>
              <w:rPr>
                <w:rFonts w:ascii="Times New Roman" w:hAnsi="Times New Roman" w:cs="Times New Roman"/>
                <w:color w:val="auto"/>
                <w:sz w:val="21"/>
                <w:szCs w:val="21"/>
              </w:rPr>
              <w:t>汽车载重量，</w:t>
            </w:r>
            <w:r>
              <w:rPr>
                <w:rFonts w:ascii="Times New Roman" w:hAnsi="Times New Roman" w:eastAsia="Times New Roman" w:cs="Times New Roman"/>
                <w:color w:val="auto"/>
                <w:sz w:val="21"/>
                <w:szCs w:val="21"/>
              </w:rPr>
              <w:t>t</w:t>
            </w:r>
            <w:r>
              <w:rPr>
                <w:rFonts w:ascii="Times New Roman" w:hAnsi="Times New Roman" w:cs="Times New Roman"/>
                <w:color w:val="auto"/>
                <w:sz w:val="21"/>
                <w:szCs w:val="21"/>
              </w:rPr>
              <w:t>；</w:t>
            </w:r>
          </w:p>
          <w:p w14:paraId="2270EECB">
            <w:pPr>
              <w:pStyle w:val="8"/>
              <w:autoSpaceDE/>
              <w:autoSpaceDN/>
              <w:spacing w:line="360" w:lineRule="auto"/>
              <w:ind w:firstLine="1050" w:firstLineChars="500"/>
              <w:rPr>
                <w:rFonts w:ascii="Times New Roman" w:hAnsi="Times New Roman" w:cs="Times New Roman"/>
                <w:color w:val="auto"/>
                <w:sz w:val="21"/>
                <w:szCs w:val="21"/>
              </w:rPr>
            </w:pPr>
            <w:r>
              <w:rPr>
                <w:rFonts w:ascii="Times New Roman" w:hAnsi="Times New Roman" w:eastAsia="Times New Roman" w:cs="Times New Roman"/>
                <w:color w:val="auto"/>
                <w:sz w:val="21"/>
                <w:szCs w:val="21"/>
              </w:rPr>
              <w:t>P</w:t>
            </w:r>
            <w:r>
              <w:rPr>
                <w:rFonts w:hint="eastAsia" w:ascii="Times New Roman" w:hAnsi="Times New Roman" w:cs="Times New Roman"/>
                <w:color w:val="auto"/>
                <w:sz w:val="21"/>
                <w:szCs w:val="21"/>
              </w:rPr>
              <w:t>：</w:t>
            </w:r>
            <w:r>
              <w:rPr>
                <w:rFonts w:ascii="Times New Roman" w:hAnsi="Times New Roman" w:cs="Times New Roman"/>
                <w:color w:val="auto"/>
                <w:sz w:val="21"/>
                <w:szCs w:val="21"/>
              </w:rPr>
              <w:t>道路表面粉尘量，</w:t>
            </w:r>
            <w:r>
              <w:rPr>
                <w:rFonts w:ascii="Times New Roman" w:hAnsi="Times New Roman" w:eastAsia="Times New Roman" w:cs="Times New Roman"/>
                <w:color w:val="auto"/>
                <w:sz w:val="21"/>
                <w:szCs w:val="21"/>
              </w:rPr>
              <w:t>kg/m</w:t>
            </w:r>
            <w:r>
              <w:rPr>
                <w:rFonts w:ascii="Times New Roman" w:hAnsi="Times New Roman" w:eastAsia="Times New Roman" w:cs="Times New Roman"/>
                <w:color w:val="auto"/>
                <w:sz w:val="21"/>
                <w:szCs w:val="21"/>
                <w:vertAlign w:val="superscript"/>
              </w:rPr>
              <w:t>2</w:t>
            </w:r>
            <w:r>
              <w:rPr>
                <w:rFonts w:ascii="Times New Roman" w:hAnsi="Times New Roman" w:cs="Times New Roman"/>
                <w:color w:val="auto"/>
                <w:sz w:val="21"/>
                <w:szCs w:val="21"/>
              </w:rPr>
              <w:t>。</w:t>
            </w:r>
          </w:p>
          <w:p w14:paraId="539AD3C4">
            <w:pPr>
              <w:snapToGrid w:val="0"/>
              <w:spacing w:line="360" w:lineRule="auto"/>
              <w:ind w:firstLine="404" w:firstLineChars="200"/>
              <w:rPr>
                <w:color w:val="auto"/>
                <w:spacing w:val="-4"/>
              </w:rPr>
            </w:pPr>
            <w:r>
              <w:rPr>
                <w:color w:val="auto"/>
                <w:spacing w:val="-4"/>
              </w:rPr>
              <w:t xml:space="preserve">本项目车辆厂内行驶距离约为 </w:t>
            </w:r>
            <w:r>
              <w:rPr>
                <w:color w:val="auto"/>
              </w:rPr>
              <w:t>100</w:t>
            </w:r>
            <w:r>
              <w:rPr>
                <w:rFonts w:eastAsia="Times New Roman"/>
                <w:color w:val="auto"/>
              </w:rPr>
              <w:t>m</w:t>
            </w:r>
            <w:r>
              <w:rPr>
                <w:color w:val="auto"/>
                <w:spacing w:val="-5"/>
              </w:rPr>
              <w:t>，</w:t>
            </w:r>
            <w:r>
              <w:rPr>
                <w:color w:val="auto"/>
              </w:rPr>
              <w:t>空</w:t>
            </w:r>
            <w:r>
              <w:rPr>
                <w:color w:val="auto"/>
                <w:spacing w:val="-13"/>
              </w:rPr>
              <w:t xml:space="preserve">车重约 </w:t>
            </w:r>
            <w:r>
              <w:rPr>
                <w:color w:val="auto"/>
              </w:rPr>
              <w:t>5</w:t>
            </w:r>
            <w:r>
              <w:rPr>
                <w:rFonts w:eastAsia="Times New Roman"/>
                <w:color w:val="auto"/>
              </w:rPr>
              <w:t>t</w:t>
            </w:r>
            <w:r>
              <w:rPr>
                <w:color w:val="auto"/>
                <w:spacing w:val="-9"/>
              </w:rPr>
              <w:t xml:space="preserve">，重车重约 </w:t>
            </w:r>
            <w:r>
              <w:rPr>
                <w:color w:val="auto"/>
              </w:rPr>
              <w:t>2</w:t>
            </w:r>
            <w:r>
              <w:rPr>
                <w:rFonts w:eastAsia="Times New Roman"/>
                <w:color w:val="auto"/>
              </w:rPr>
              <w:t>5t</w:t>
            </w:r>
            <w:r>
              <w:rPr>
                <w:color w:val="auto"/>
              </w:rPr>
              <w:t>，原料</w:t>
            </w:r>
            <w:r>
              <w:rPr>
                <w:rFonts w:hint="eastAsia"/>
                <w:color w:val="auto"/>
              </w:rPr>
              <w:t>645</w:t>
            </w:r>
            <w:r>
              <w:rPr>
                <w:color w:val="auto"/>
              </w:rPr>
              <w:t>00t/a，产品</w:t>
            </w:r>
            <w:r>
              <w:rPr>
                <w:rFonts w:hint="eastAsia"/>
                <w:color w:val="auto"/>
              </w:rPr>
              <w:t>64</w:t>
            </w:r>
            <w:r>
              <w:rPr>
                <w:color w:val="auto"/>
              </w:rPr>
              <w:t>000t/a，</w:t>
            </w:r>
            <w:r>
              <w:rPr>
                <w:color w:val="auto"/>
                <w:spacing w:val="-5"/>
              </w:rPr>
              <w:t xml:space="preserve">每年发空车、重载 </w:t>
            </w:r>
            <w:r>
              <w:rPr>
                <w:rFonts w:hint="eastAsia"/>
                <w:color w:val="auto"/>
              </w:rPr>
              <w:t>5140</w:t>
            </w:r>
            <w:r>
              <w:rPr>
                <w:color w:val="auto"/>
              </w:rPr>
              <w:t>辆（次）；</w:t>
            </w:r>
            <w:r>
              <w:rPr>
                <w:color w:val="auto"/>
                <w:spacing w:val="-11"/>
              </w:rPr>
              <w:t xml:space="preserve">以速度 </w:t>
            </w:r>
            <w:r>
              <w:rPr>
                <w:rFonts w:eastAsia="Times New Roman"/>
                <w:color w:val="auto"/>
              </w:rPr>
              <w:t>10km/h</w:t>
            </w:r>
            <w:r>
              <w:rPr>
                <w:color w:val="auto"/>
              </w:rPr>
              <w:t>行驶，</w:t>
            </w:r>
            <w:r>
              <w:rPr>
                <w:color w:val="auto"/>
                <w:spacing w:val="-3"/>
              </w:rPr>
              <w:t xml:space="preserve">道路路况以 </w:t>
            </w:r>
            <w:r>
              <w:rPr>
                <w:rFonts w:eastAsia="Times New Roman"/>
                <w:color w:val="auto"/>
              </w:rPr>
              <w:t>0.1kg/m</w:t>
            </w:r>
            <w:r>
              <w:rPr>
                <w:rFonts w:eastAsia="Times New Roman"/>
                <w:color w:val="auto"/>
                <w:vertAlign w:val="superscript"/>
              </w:rPr>
              <w:t>2</w:t>
            </w:r>
            <w:r>
              <w:rPr>
                <w:color w:val="auto"/>
                <w:spacing w:val="-6"/>
              </w:rPr>
              <w:t>计，</w:t>
            </w:r>
            <w:r>
              <w:rPr>
                <w:color w:val="auto"/>
              </w:rPr>
              <w:t>本项目运输扬尘产生量</w:t>
            </w:r>
            <w:r>
              <w:rPr>
                <w:color w:val="auto"/>
                <w:spacing w:val="-11"/>
              </w:rPr>
              <w:t xml:space="preserve">为 </w:t>
            </w:r>
            <w:r>
              <w:rPr>
                <w:color w:val="auto"/>
              </w:rPr>
              <w:t>0.183</w:t>
            </w:r>
            <w:r>
              <w:rPr>
                <w:rFonts w:eastAsia="Times New Roman"/>
                <w:color w:val="auto"/>
              </w:rPr>
              <w:t>t/a</w:t>
            </w:r>
            <w:r>
              <w:rPr>
                <w:color w:val="auto"/>
              </w:rPr>
              <w:t>、排放速率为 0.114kg/h。</w:t>
            </w:r>
            <w:r>
              <w:rPr>
                <w:color w:val="auto"/>
                <w:spacing w:val="-4"/>
              </w:rPr>
              <w:t>通过对厂区道路及时清扫、路面定时洒水，可使粉尘量减少80%，则厂内运输过程扬尘无组织排放量为0.037t/a</w:t>
            </w:r>
            <w:r>
              <w:rPr>
                <w:color w:val="auto"/>
              </w:rPr>
              <w:t>、排放速率为 0.023kg/h。</w:t>
            </w:r>
          </w:p>
          <w:p w14:paraId="77718093">
            <w:pPr>
              <w:snapToGrid w:val="0"/>
              <w:spacing w:line="360" w:lineRule="auto"/>
              <w:ind w:firstLine="420" w:firstLineChars="200"/>
              <w:rPr>
                <w:color w:val="auto"/>
              </w:rPr>
            </w:pPr>
            <w:r>
              <w:rPr>
                <w:rFonts w:hint="eastAsia"/>
                <w:color w:val="auto"/>
              </w:rPr>
              <w:t>（</w:t>
            </w:r>
            <w:r>
              <w:rPr>
                <w:rFonts w:hint="eastAsia"/>
                <w:color w:val="auto"/>
                <w:lang w:val="en-US" w:eastAsia="zh-CN"/>
              </w:rPr>
              <w:t>4</w:t>
            </w:r>
            <w:r>
              <w:rPr>
                <w:rFonts w:hint="eastAsia"/>
                <w:color w:val="auto"/>
              </w:rPr>
              <w:t>）</w:t>
            </w:r>
            <w:r>
              <w:rPr>
                <w:color w:val="auto"/>
              </w:rPr>
              <w:t>输送粉尘</w:t>
            </w:r>
          </w:p>
          <w:p w14:paraId="365511B0">
            <w:pPr>
              <w:pStyle w:val="61"/>
              <w:snapToGrid w:val="0"/>
              <w:spacing w:line="360" w:lineRule="auto"/>
              <w:ind w:firstLine="480"/>
              <w:rPr>
                <w:rFonts w:ascii="Times New Roman" w:hAnsi="Times New Roman" w:eastAsia="宋体" w:cs="Times New Roman"/>
                <w:bCs/>
                <w:color w:val="auto"/>
                <w:sz w:val="21"/>
                <w:szCs w:val="21"/>
                <w:lang w:val="zh-CN"/>
              </w:rPr>
            </w:pPr>
            <w:r>
              <w:rPr>
                <w:rFonts w:ascii="Times New Roman" w:hAnsi="Times New Roman" w:eastAsia="宋体" w:cs="Times New Roman"/>
                <w:bCs/>
                <w:color w:val="auto"/>
                <w:sz w:val="21"/>
                <w:szCs w:val="21"/>
                <w:lang w:val="zh-CN"/>
              </w:rPr>
              <w:t>物料在输送过程中会有粉尘产生，输送过程产生的粉尘量参照《采石场大气污染源强分析研究》论文中数据，输送工序粉尘产生量为 0.001kg/t-产品，</w:t>
            </w:r>
            <w:r>
              <w:rPr>
                <w:rFonts w:ascii="Times New Roman" w:hAnsi="Times New Roman" w:eastAsia="宋体" w:cs="Times New Roman"/>
                <w:color w:val="auto"/>
                <w:sz w:val="21"/>
                <w:szCs w:val="21"/>
              </w:rPr>
              <w:t>本项目产品</w:t>
            </w:r>
            <w:r>
              <w:rPr>
                <w:rFonts w:hint="eastAsia" w:ascii="Times New Roman" w:hAnsi="Times New Roman" w:eastAsia="宋体" w:cs="Times New Roman"/>
                <w:color w:val="auto"/>
                <w:sz w:val="21"/>
                <w:szCs w:val="21"/>
              </w:rPr>
              <w:t>64</w:t>
            </w:r>
            <w:r>
              <w:rPr>
                <w:rFonts w:ascii="Times New Roman" w:hAnsi="Times New Roman" w:eastAsia="宋体" w:cs="Times New Roman"/>
                <w:color w:val="auto"/>
                <w:sz w:val="21"/>
                <w:szCs w:val="21"/>
              </w:rPr>
              <w:t>000t/a，</w:t>
            </w:r>
            <w:r>
              <w:rPr>
                <w:rFonts w:ascii="Times New Roman" w:hAnsi="Times New Roman" w:eastAsia="宋体" w:cs="Times New Roman"/>
                <w:bCs/>
                <w:color w:val="auto"/>
                <w:sz w:val="21"/>
                <w:szCs w:val="21"/>
                <w:lang w:val="zh-CN"/>
              </w:rPr>
              <w:t>则输送粉尘产生量为</w:t>
            </w:r>
            <w:r>
              <w:rPr>
                <w:rFonts w:ascii="Times New Roman" w:hAnsi="Times New Roman" w:eastAsia="宋体" w:cs="Times New Roman"/>
                <w:bCs/>
                <w:color w:val="auto"/>
                <w:sz w:val="21"/>
                <w:szCs w:val="21"/>
              </w:rPr>
              <w:t>0.0</w:t>
            </w:r>
            <w:r>
              <w:rPr>
                <w:rFonts w:hint="eastAsia" w:ascii="Times New Roman" w:hAnsi="Times New Roman" w:eastAsia="宋体" w:cs="Times New Roman"/>
                <w:bCs/>
                <w:color w:val="auto"/>
                <w:sz w:val="21"/>
                <w:szCs w:val="21"/>
              </w:rPr>
              <w:t>64</w:t>
            </w:r>
            <w:r>
              <w:rPr>
                <w:rFonts w:ascii="Times New Roman" w:hAnsi="Times New Roman" w:eastAsia="宋体" w:cs="Times New Roman"/>
                <w:bCs/>
                <w:color w:val="auto"/>
                <w:sz w:val="21"/>
                <w:szCs w:val="21"/>
                <w:lang w:val="zh-CN"/>
              </w:rPr>
              <w:t>t/a。</w:t>
            </w:r>
            <w:r>
              <w:rPr>
                <w:rFonts w:hint="eastAsia" w:ascii="Times New Roman" w:hAnsi="Times New Roman" w:eastAsia="宋体" w:cs="Times New Roman"/>
                <w:bCs/>
                <w:color w:val="auto"/>
                <w:sz w:val="21"/>
                <w:szCs w:val="21"/>
              </w:rPr>
              <w:t>采用密闭输送，</w:t>
            </w:r>
            <w:r>
              <w:rPr>
                <w:rFonts w:ascii="Times New Roman" w:hAnsi="Times New Roman" w:eastAsia="宋体" w:cs="Times New Roman"/>
                <w:bCs/>
                <w:color w:val="auto"/>
                <w:sz w:val="21"/>
                <w:szCs w:val="21"/>
                <w:lang w:val="zh-CN"/>
              </w:rPr>
              <w:t>物料传送带输送过程产生的粉尘主要为卸料口处，在卸料口</w:t>
            </w:r>
            <w:r>
              <w:rPr>
                <w:rFonts w:ascii="Times New Roman" w:hAnsi="Times New Roman" w:eastAsia="宋体" w:cs="Times New Roman"/>
                <w:bCs/>
                <w:color w:val="auto"/>
                <w:sz w:val="21"/>
                <w:szCs w:val="21"/>
              </w:rPr>
              <w:t>采取水雾喷淋措施</w:t>
            </w:r>
            <w:r>
              <w:rPr>
                <w:rFonts w:ascii="Times New Roman" w:hAnsi="Times New Roman" w:eastAsia="宋体" w:cs="Times New Roman"/>
                <w:bCs/>
                <w:color w:val="auto"/>
                <w:sz w:val="21"/>
                <w:szCs w:val="21"/>
                <w:lang w:val="zh-CN"/>
              </w:rPr>
              <w:t>，保证物料表面潮湿不滴水，降尘效率可达 8</w:t>
            </w:r>
            <w:r>
              <w:rPr>
                <w:rFonts w:ascii="Times New Roman" w:hAnsi="Times New Roman" w:eastAsia="宋体" w:cs="Times New Roman"/>
                <w:bCs/>
                <w:color w:val="auto"/>
                <w:sz w:val="21"/>
                <w:szCs w:val="21"/>
              </w:rPr>
              <w:t>0</w:t>
            </w:r>
            <w:r>
              <w:rPr>
                <w:rFonts w:ascii="Times New Roman" w:hAnsi="Times New Roman" w:eastAsia="宋体" w:cs="Times New Roman"/>
                <w:bCs/>
                <w:color w:val="auto"/>
                <w:sz w:val="21"/>
                <w:szCs w:val="21"/>
                <w:lang w:val="zh-CN"/>
              </w:rPr>
              <w:t>%以上， 则输送粉尘无组织排放量为 0.0</w:t>
            </w:r>
            <w:r>
              <w:rPr>
                <w:rFonts w:hint="eastAsia" w:ascii="Times New Roman" w:hAnsi="Times New Roman" w:eastAsia="宋体" w:cs="Times New Roman"/>
                <w:bCs/>
                <w:color w:val="auto"/>
                <w:sz w:val="21"/>
                <w:szCs w:val="21"/>
              </w:rPr>
              <w:t>128</w:t>
            </w:r>
            <w:r>
              <w:rPr>
                <w:rFonts w:ascii="Times New Roman" w:hAnsi="Times New Roman" w:eastAsia="宋体" w:cs="Times New Roman"/>
                <w:bCs/>
                <w:color w:val="auto"/>
                <w:sz w:val="21"/>
                <w:szCs w:val="21"/>
                <w:lang w:val="zh-CN"/>
              </w:rPr>
              <w:t>t/a、排放速率为 0.</w:t>
            </w:r>
            <w:r>
              <w:rPr>
                <w:rFonts w:ascii="Times New Roman" w:hAnsi="Times New Roman" w:eastAsia="宋体" w:cs="Times New Roman"/>
                <w:bCs/>
                <w:color w:val="auto"/>
                <w:sz w:val="21"/>
                <w:szCs w:val="21"/>
              </w:rPr>
              <w:t>00</w:t>
            </w:r>
            <w:r>
              <w:rPr>
                <w:rFonts w:hint="eastAsia" w:ascii="Times New Roman" w:hAnsi="Times New Roman" w:eastAsia="宋体" w:cs="Times New Roman"/>
                <w:bCs/>
                <w:color w:val="auto"/>
                <w:sz w:val="21"/>
                <w:szCs w:val="21"/>
              </w:rPr>
              <w:t>4</w:t>
            </w:r>
            <w:r>
              <w:rPr>
                <w:rFonts w:ascii="Times New Roman" w:hAnsi="Times New Roman" w:eastAsia="宋体" w:cs="Times New Roman"/>
                <w:bCs/>
                <w:color w:val="auto"/>
                <w:sz w:val="21"/>
                <w:szCs w:val="21"/>
                <w:lang w:val="zh-CN"/>
              </w:rPr>
              <w:t>kg/h。</w:t>
            </w:r>
          </w:p>
          <w:p w14:paraId="4F95D7FD">
            <w:pPr>
              <w:snapToGrid w:val="0"/>
              <w:spacing w:line="360" w:lineRule="auto"/>
              <w:ind w:firstLine="420" w:firstLineChars="200"/>
              <w:rPr>
                <w:color w:val="auto"/>
              </w:rPr>
            </w:pPr>
            <w:r>
              <w:rPr>
                <w:rFonts w:hint="eastAsia"/>
                <w:color w:val="auto"/>
              </w:rPr>
              <w:t>（</w:t>
            </w:r>
            <w:r>
              <w:rPr>
                <w:rFonts w:hint="eastAsia"/>
                <w:color w:val="auto"/>
                <w:lang w:val="en-US" w:eastAsia="zh-CN"/>
              </w:rPr>
              <w:t>5</w:t>
            </w:r>
            <w:r>
              <w:rPr>
                <w:rFonts w:hint="eastAsia"/>
                <w:color w:val="auto"/>
              </w:rPr>
              <w:t>）</w:t>
            </w:r>
            <w:r>
              <w:rPr>
                <w:color w:val="auto"/>
              </w:rPr>
              <w:t>破碎粉尘</w:t>
            </w:r>
          </w:p>
          <w:p w14:paraId="632A5896">
            <w:pPr>
              <w:pStyle w:val="61"/>
              <w:snapToGrid w:val="0"/>
              <w:spacing w:line="360" w:lineRule="auto"/>
              <w:ind w:firstLine="480"/>
              <w:rPr>
                <w:rFonts w:ascii="Times New Roman" w:hAnsi="Times New Roman" w:cs="Times New Roman"/>
                <w:i/>
                <w:iCs/>
                <w:color w:val="auto"/>
                <w:sz w:val="21"/>
                <w:szCs w:val="21"/>
                <w:highlight w:val="none"/>
                <w:u w:val="single"/>
              </w:rPr>
            </w:pPr>
            <w:r>
              <w:rPr>
                <w:rFonts w:ascii="Times New Roman" w:hAnsi="Times New Roman" w:eastAsia="宋体" w:cs="Times New Roman"/>
                <w:i/>
                <w:iCs/>
                <w:color w:val="auto"/>
                <w:sz w:val="21"/>
                <w:szCs w:val="21"/>
                <w:u w:val="single"/>
              </w:rPr>
              <w:t>参考《</w:t>
            </w:r>
            <w:r>
              <w:rPr>
                <w:rFonts w:hint="eastAsia" w:ascii="Times New Roman" w:hAnsi="Times New Roman" w:eastAsia="宋体" w:cs="Times New Roman"/>
                <w:i/>
                <w:iCs/>
                <w:color w:val="auto"/>
                <w:sz w:val="21"/>
                <w:szCs w:val="21"/>
                <w:u w:val="single"/>
              </w:rPr>
              <w:t>3099其他非金属矿物制品制造业行业系数表</w:t>
            </w:r>
            <w:r>
              <w:rPr>
                <w:rFonts w:ascii="Times New Roman" w:hAnsi="Times New Roman" w:eastAsia="宋体" w:cs="Times New Roman"/>
                <w:i/>
                <w:iCs/>
                <w:color w:val="auto"/>
                <w:sz w:val="21"/>
                <w:szCs w:val="21"/>
                <w:u w:val="single"/>
              </w:rPr>
              <w:t>》</w:t>
            </w:r>
            <w:r>
              <w:rPr>
                <w:rFonts w:hint="eastAsia" w:ascii="Times New Roman" w:hAnsi="Times New Roman" w:eastAsia="宋体" w:cs="Times New Roman"/>
                <w:i/>
                <w:iCs/>
                <w:color w:val="auto"/>
                <w:sz w:val="21"/>
                <w:szCs w:val="21"/>
                <w:u w:val="single"/>
              </w:rPr>
              <w:t>石灰石破碎过程中颗粒物产污系数为1.13千克/吨-产品，</w:t>
            </w:r>
            <w:r>
              <w:rPr>
                <w:rFonts w:ascii="Times New Roman" w:hAnsi="Times New Roman" w:eastAsia="宋体" w:cs="Times New Roman"/>
                <w:i/>
                <w:iCs/>
                <w:color w:val="auto"/>
                <w:sz w:val="21"/>
                <w:szCs w:val="21"/>
                <w:u w:val="single"/>
              </w:rPr>
              <w:t>本项目</w:t>
            </w:r>
            <w:r>
              <w:rPr>
                <w:rFonts w:hint="eastAsia" w:ascii="Times New Roman" w:hAnsi="Times New Roman" w:eastAsia="宋体" w:cs="Times New Roman"/>
                <w:i/>
                <w:iCs/>
                <w:color w:val="auto"/>
                <w:sz w:val="21"/>
                <w:szCs w:val="21"/>
                <w:u w:val="single"/>
              </w:rPr>
              <w:t>机制砂产品</w:t>
            </w:r>
            <w:r>
              <w:rPr>
                <w:rFonts w:ascii="Times New Roman" w:hAnsi="Times New Roman" w:eastAsia="宋体" w:cs="Times New Roman"/>
                <w:i/>
                <w:iCs/>
                <w:color w:val="auto"/>
                <w:sz w:val="21"/>
                <w:szCs w:val="21"/>
                <w:u w:val="single"/>
              </w:rPr>
              <w:t>为</w:t>
            </w:r>
            <w:r>
              <w:rPr>
                <w:rFonts w:hint="eastAsia" w:ascii="Times New Roman" w:hAnsi="Times New Roman" w:eastAsia="宋体" w:cs="Times New Roman"/>
                <w:i/>
                <w:iCs/>
                <w:color w:val="auto"/>
                <w:sz w:val="21"/>
                <w:szCs w:val="21"/>
                <w:u w:val="single"/>
              </w:rPr>
              <w:t>640</w:t>
            </w:r>
            <w:r>
              <w:rPr>
                <w:rFonts w:ascii="Times New Roman" w:hAnsi="Times New Roman" w:eastAsia="宋体" w:cs="Times New Roman"/>
                <w:i/>
                <w:iCs/>
                <w:color w:val="auto"/>
                <w:sz w:val="21"/>
                <w:szCs w:val="21"/>
                <w:u w:val="single"/>
              </w:rPr>
              <w:t>00t/a，则</w:t>
            </w:r>
            <w:r>
              <w:rPr>
                <w:rFonts w:ascii="Times New Roman" w:hAnsi="Times New Roman" w:cs="Times New Roman"/>
                <w:i/>
                <w:iCs/>
                <w:color w:val="auto"/>
                <w:sz w:val="21"/>
                <w:szCs w:val="21"/>
                <w:u w:val="single"/>
              </w:rPr>
              <w:t>破碎粉尘产生量为</w:t>
            </w:r>
            <w:r>
              <w:rPr>
                <w:rFonts w:hint="eastAsia" w:ascii="Times New Roman" w:hAnsi="Times New Roman" w:cs="Times New Roman"/>
                <w:i/>
                <w:iCs/>
                <w:color w:val="auto"/>
                <w:sz w:val="21"/>
                <w:szCs w:val="21"/>
                <w:u w:val="single"/>
              </w:rPr>
              <w:t>72.32</w:t>
            </w:r>
            <w:r>
              <w:rPr>
                <w:rFonts w:ascii="Times New Roman" w:hAnsi="Times New Roman" w:cs="Times New Roman"/>
                <w:i/>
                <w:iCs/>
                <w:color w:val="auto"/>
                <w:sz w:val="21"/>
                <w:szCs w:val="21"/>
                <w:u w:val="single"/>
              </w:rPr>
              <w:t>t/a，采</w:t>
            </w:r>
            <w:r>
              <w:rPr>
                <w:rFonts w:hint="eastAsia" w:ascii="Times New Roman" w:hAnsi="Times New Roman" w:cs="Times New Roman"/>
                <w:i/>
                <w:iCs/>
                <w:color w:val="auto"/>
                <w:sz w:val="21"/>
                <w:szCs w:val="21"/>
                <w:u w:val="single"/>
              </w:rPr>
              <w:t>用密闭设备，产生的粉尘集中收集，采用布袋除尘器进行处理，风机风量为15000m</w:t>
            </w:r>
            <w:r>
              <w:rPr>
                <w:rFonts w:hint="eastAsia" w:ascii="Times New Roman" w:hAnsi="Times New Roman" w:cs="Times New Roman"/>
                <w:i/>
                <w:iCs/>
                <w:color w:val="auto"/>
                <w:sz w:val="21"/>
                <w:szCs w:val="21"/>
                <w:u w:val="single"/>
                <w:vertAlign w:val="superscript"/>
              </w:rPr>
              <w:t>3</w:t>
            </w:r>
            <w:r>
              <w:rPr>
                <w:rFonts w:hint="eastAsia" w:ascii="Times New Roman" w:hAnsi="Times New Roman" w:cs="Times New Roman"/>
                <w:i/>
                <w:iCs/>
                <w:color w:val="auto"/>
                <w:sz w:val="21"/>
                <w:szCs w:val="21"/>
                <w:u w:val="single"/>
              </w:rPr>
              <w:t>/h</w:t>
            </w:r>
            <w:r>
              <w:rPr>
                <w:rFonts w:ascii="Times New Roman" w:hAnsi="Times New Roman" w:cs="Times New Roman"/>
                <w:i/>
                <w:iCs/>
                <w:color w:val="auto"/>
                <w:sz w:val="21"/>
                <w:szCs w:val="21"/>
                <w:u w:val="single"/>
              </w:rPr>
              <w:t>，</w:t>
            </w:r>
            <w:r>
              <w:rPr>
                <w:rFonts w:hint="eastAsia" w:ascii="Times New Roman" w:hAnsi="Times New Roman" w:cs="Times New Roman"/>
                <w:i/>
                <w:iCs/>
                <w:color w:val="auto"/>
                <w:sz w:val="21"/>
                <w:szCs w:val="21"/>
                <w:u w:val="single"/>
              </w:rPr>
              <w:t>设备年时基数为3200h，除尘效率为99%，处理后的废气经1根15m高的</w:t>
            </w:r>
            <w:r>
              <w:rPr>
                <w:rFonts w:hint="eastAsia" w:ascii="Times New Roman" w:hAnsi="Times New Roman" w:cs="Times New Roman"/>
                <w:i/>
                <w:iCs/>
                <w:color w:val="auto"/>
                <w:sz w:val="21"/>
                <w:szCs w:val="21"/>
                <w:highlight w:val="none"/>
                <w:u w:val="single"/>
              </w:rPr>
              <w:t>排气筒排放。</w:t>
            </w:r>
          </w:p>
          <w:p w14:paraId="17009B8C">
            <w:pPr>
              <w:pStyle w:val="61"/>
              <w:snapToGrid w:val="0"/>
              <w:spacing w:line="360" w:lineRule="auto"/>
              <w:ind w:firstLine="480"/>
              <w:rPr>
                <w:rFonts w:ascii="Times New Roman" w:hAnsi="Times New Roman" w:cs="Times New Roman"/>
                <w:i/>
                <w:iCs/>
                <w:color w:val="auto"/>
                <w:sz w:val="21"/>
                <w:szCs w:val="21"/>
                <w:highlight w:val="none"/>
                <w:u w:val="single"/>
              </w:rPr>
            </w:pPr>
            <w:r>
              <w:rPr>
                <w:rFonts w:hint="eastAsia" w:ascii="Times New Roman" w:hAnsi="Times New Roman" w:cs="Times New Roman"/>
                <w:i/>
                <w:iCs/>
                <w:color w:val="auto"/>
                <w:sz w:val="21"/>
                <w:szCs w:val="21"/>
                <w:highlight w:val="none"/>
                <w:u w:val="single"/>
              </w:rPr>
              <w:t>出料过程中会有少量的粉尘逸散出来，为无组织排放，采用水雾喷淋措施，逸散量约为5%，则无组织排放量为3.616t/a。</w:t>
            </w:r>
          </w:p>
          <w:p w14:paraId="1B3544DE">
            <w:pPr>
              <w:pStyle w:val="72"/>
              <w:adjustRightInd w:val="0"/>
              <w:snapToGrid w:val="0"/>
              <w:spacing w:line="240" w:lineRule="auto"/>
              <w:ind w:firstLine="420"/>
              <w:jc w:val="center"/>
              <w:rPr>
                <w:rFonts w:ascii="Times New Roman" w:hAnsi="Times New Roman" w:cs="Times New Roman"/>
                <w:i/>
                <w:iCs/>
                <w:color w:val="auto"/>
                <w:kern w:val="0"/>
                <w:sz w:val="21"/>
                <w:szCs w:val="21"/>
                <w:u w:val="single"/>
              </w:rPr>
            </w:pPr>
            <w:r>
              <w:rPr>
                <w:rFonts w:hint="eastAsia" w:ascii="Times New Roman" w:hAnsi="Times New Roman" w:cs="Times New Roman"/>
                <w:i/>
                <w:iCs/>
                <w:color w:val="auto"/>
                <w:kern w:val="0"/>
                <w:sz w:val="21"/>
                <w:szCs w:val="21"/>
                <w:u w:val="single"/>
              </w:rPr>
              <w:t>破碎废气产生及排放情况一览表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9"/>
              <w:gridCol w:w="832"/>
              <w:gridCol w:w="791"/>
              <w:gridCol w:w="1907"/>
              <w:gridCol w:w="1533"/>
              <w:gridCol w:w="2168"/>
            </w:tblGrid>
            <w:tr w14:paraId="198B88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70" w:type="pct"/>
                  <w:vAlign w:val="center"/>
                </w:tcPr>
                <w:p w14:paraId="37A744BA">
                  <w:pPr>
                    <w:pStyle w:val="72"/>
                    <w:adjustRightInd w:val="0"/>
                    <w:snapToGrid w:val="0"/>
                    <w:spacing w:line="240" w:lineRule="auto"/>
                    <w:ind w:firstLine="0" w:firstLineChars="0"/>
                    <w:jc w:val="center"/>
                    <w:rPr>
                      <w:rFonts w:ascii="Times New Roman" w:hAnsi="Times New Roman" w:cs="Times New Roman"/>
                      <w:i/>
                      <w:iCs/>
                      <w:color w:val="auto"/>
                      <w:sz w:val="18"/>
                      <w:szCs w:val="18"/>
                      <w:u w:val="single"/>
                    </w:rPr>
                  </w:pPr>
                  <w:r>
                    <w:rPr>
                      <w:rFonts w:ascii="Times New Roman" w:hAnsi="Times New Roman" w:cs="Times New Roman"/>
                      <w:i/>
                      <w:iCs/>
                      <w:color w:val="auto"/>
                      <w:sz w:val="18"/>
                      <w:szCs w:val="18"/>
                      <w:u w:val="single"/>
                    </w:rPr>
                    <w:t>污染物名称</w:t>
                  </w:r>
                </w:p>
              </w:tc>
              <w:tc>
                <w:tcPr>
                  <w:tcW w:w="532" w:type="pct"/>
                  <w:vAlign w:val="center"/>
                </w:tcPr>
                <w:p w14:paraId="190F21C8">
                  <w:pPr>
                    <w:pStyle w:val="72"/>
                    <w:adjustRightInd w:val="0"/>
                    <w:snapToGrid w:val="0"/>
                    <w:spacing w:line="240" w:lineRule="auto"/>
                    <w:ind w:firstLine="0" w:firstLineChars="0"/>
                    <w:jc w:val="center"/>
                    <w:rPr>
                      <w:rFonts w:ascii="Times New Roman" w:hAnsi="Times New Roman" w:cs="Times New Roman"/>
                      <w:i/>
                      <w:iCs/>
                      <w:color w:val="auto"/>
                      <w:sz w:val="18"/>
                      <w:szCs w:val="18"/>
                      <w:u w:val="single"/>
                    </w:rPr>
                  </w:pPr>
                  <w:r>
                    <w:rPr>
                      <w:rFonts w:hint="eastAsia" w:ascii="Times New Roman" w:hAnsi="Times New Roman" w:cs="Times New Roman"/>
                      <w:i/>
                      <w:iCs/>
                      <w:color w:val="auto"/>
                      <w:sz w:val="18"/>
                      <w:szCs w:val="18"/>
                      <w:u w:val="single"/>
                    </w:rPr>
                    <w:t>污染物产生量（t/a）</w:t>
                  </w:r>
                </w:p>
              </w:tc>
              <w:tc>
                <w:tcPr>
                  <w:tcW w:w="506" w:type="pct"/>
                  <w:vAlign w:val="center"/>
                </w:tcPr>
                <w:p w14:paraId="1A3D94ED">
                  <w:pPr>
                    <w:autoSpaceDE w:val="0"/>
                    <w:autoSpaceDN w:val="0"/>
                    <w:adjustRightInd w:val="0"/>
                    <w:snapToGrid w:val="0"/>
                    <w:jc w:val="center"/>
                    <w:rPr>
                      <w:i/>
                      <w:iCs/>
                      <w:color w:val="auto"/>
                      <w:sz w:val="18"/>
                      <w:szCs w:val="18"/>
                      <w:u w:val="single"/>
                    </w:rPr>
                  </w:pPr>
                  <w:r>
                    <w:rPr>
                      <w:rFonts w:hint="eastAsia"/>
                      <w:i/>
                      <w:iCs/>
                      <w:color w:val="auto"/>
                      <w:sz w:val="18"/>
                      <w:szCs w:val="18"/>
                      <w:u w:val="single"/>
                    </w:rPr>
                    <w:t>排放方式</w:t>
                  </w:r>
                </w:p>
              </w:tc>
              <w:tc>
                <w:tcPr>
                  <w:tcW w:w="1221" w:type="pct"/>
                  <w:vAlign w:val="center"/>
                </w:tcPr>
                <w:p w14:paraId="64EAFB13">
                  <w:pPr>
                    <w:autoSpaceDE w:val="0"/>
                    <w:autoSpaceDN w:val="0"/>
                    <w:adjustRightInd w:val="0"/>
                    <w:snapToGrid w:val="0"/>
                    <w:jc w:val="center"/>
                    <w:rPr>
                      <w:i/>
                      <w:iCs/>
                      <w:color w:val="auto"/>
                      <w:sz w:val="18"/>
                      <w:szCs w:val="18"/>
                      <w:u w:val="single"/>
                    </w:rPr>
                  </w:pPr>
                  <w:r>
                    <w:rPr>
                      <w:i/>
                      <w:iCs/>
                      <w:color w:val="auto"/>
                      <w:sz w:val="18"/>
                      <w:szCs w:val="18"/>
                      <w:u w:val="single"/>
                    </w:rPr>
                    <w:t>处理前排放浓度及排放量</w:t>
                  </w:r>
                </w:p>
              </w:tc>
              <w:tc>
                <w:tcPr>
                  <w:tcW w:w="982" w:type="pct"/>
                  <w:vAlign w:val="center"/>
                </w:tcPr>
                <w:p w14:paraId="0C3B8B81">
                  <w:pPr>
                    <w:pStyle w:val="72"/>
                    <w:adjustRightInd w:val="0"/>
                    <w:snapToGrid w:val="0"/>
                    <w:spacing w:line="240" w:lineRule="auto"/>
                    <w:ind w:firstLine="0" w:firstLineChars="0"/>
                    <w:jc w:val="center"/>
                    <w:rPr>
                      <w:rFonts w:ascii="Times New Roman" w:hAnsi="Times New Roman" w:cs="Times New Roman"/>
                      <w:i/>
                      <w:iCs/>
                      <w:color w:val="auto"/>
                      <w:sz w:val="18"/>
                      <w:szCs w:val="18"/>
                      <w:u w:val="single"/>
                    </w:rPr>
                  </w:pPr>
                  <w:r>
                    <w:rPr>
                      <w:rFonts w:ascii="Times New Roman" w:hAnsi="Times New Roman" w:cs="Times New Roman"/>
                      <w:i/>
                      <w:iCs/>
                      <w:color w:val="auto"/>
                      <w:sz w:val="18"/>
                      <w:szCs w:val="18"/>
                      <w:u w:val="single"/>
                    </w:rPr>
                    <w:t>治理措施及治理效率</w:t>
                  </w:r>
                </w:p>
              </w:tc>
              <w:tc>
                <w:tcPr>
                  <w:tcW w:w="1388" w:type="pct"/>
                  <w:vAlign w:val="center"/>
                </w:tcPr>
                <w:p w14:paraId="3D3F0DE8">
                  <w:pPr>
                    <w:autoSpaceDE w:val="0"/>
                    <w:autoSpaceDN w:val="0"/>
                    <w:adjustRightInd w:val="0"/>
                    <w:snapToGrid w:val="0"/>
                    <w:jc w:val="center"/>
                    <w:rPr>
                      <w:i/>
                      <w:iCs/>
                      <w:color w:val="auto"/>
                      <w:sz w:val="18"/>
                      <w:szCs w:val="18"/>
                      <w:u w:val="single"/>
                    </w:rPr>
                  </w:pPr>
                  <w:r>
                    <w:rPr>
                      <w:i/>
                      <w:iCs/>
                      <w:color w:val="auto"/>
                      <w:sz w:val="18"/>
                      <w:szCs w:val="18"/>
                      <w:u w:val="single"/>
                    </w:rPr>
                    <w:t>处理后排放浓度及排放量</w:t>
                  </w:r>
                </w:p>
              </w:tc>
            </w:tr>
            <w:tr w14:paraId="0AC5A0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370" w:type="pct"/>
                  <w:vMerge w:val="restart"/>
                  <w:vAlign w:val="center"/>
                </w:tcPr>
                <w:p w14:paraId="72651837">
                  <w:pPr>
                    <w:pStyle w:val="72"/>
                    <w:adjustRightInd w:val="0"/>
                    <w:snapToGrid w:val="0"/>
                    <w:spacing w:line="240" w:lineRule="auto"/>
                    <w:ind w:firstLine="0" w:firstLineChars="0"/>
                    <w:jc w:val="center"/>
                    <w:rPr>
                      <w:rFonts w:ascii="Times New Roman" w:hAnsi="Times New Roman" w:cs="Times New Roman"/>
                      <w:i/>
                      <w:iCs/>
                      <w:color w:val="auto"/>
                      <w:sz w:val="18"/>
                      <w:szCs w:val="18"/>
                      <w:u w:val="single"/>
                    </w:rPr>
                  </w:pPr>
                  <w:r>
                    <w:rPr>
                      <w:rFonts w:hint="eastAsia" w:ascii="Times New Roman" w:hAnsi="Times New Roman" w:cs="Times New Roman"/>
                      <w:i/>
                      <w:iCs/>
                      <w:color w:val="auto"/>
                      <w:sz w:val="18"/>
                      <w:szCs w:val="18"/>
                      <w:u w:val="single"/>
                    </w:rPr>
                    <w:t>颗粒物</w:t>
                  </w:r>
                </w:p>
              </w:tc>
              <w:tc>
                <w:tcPr>
                  <w:tcW w:w="532" w:type="pct"/>
                  <w:vMerge w:val="restart"/>
                  <w:vAlign w:val="center"/>
                </w:tcPr>
                <w:p w14:paraId="18CE5FDE">
                  <w:pPr>
                    <w:pStyle w:val="72"/>
                    <w:adjustRightInd w:val="0"/>
                    <w:snapToGrid w:val="0"/>
                    <w:spacing w:line="240" w:lineRule="auto"/>
                    <w:ind w:firstLine="0" w:firstLineChars="0"/>
                    <w:jc w:val="center"/>
                    <w:rPr>
                      <w:rFonts w:ascii="Times New Roman" w:hAnsi="Times New Roman" w:cs="Times New Roman"/>
                      <w:i/>
                      <w:iCs/>
                      <w:color w:val="auto"/>
                      <w:sz w:val="18"/>
                      <w:szCs w:val="18"/>
                      <w:u w:val="single"/>
                    </w:rPr>
                  </w:pPr>
                  <w:r>
                    <w:rPr>
                      <w:rFonts w:hint="eastAsia" w:ascii="Times New Roman" w:hAnsi="Times New Roman" w:cs="Times New Roman"/>
                      <w:i/>
                      <w:iCs/>
                      <w:color w:val="auto"/>
                      <w:sz w:val="18"/>
                      <w:szCs w:val="18"/>
                      <w:u w:val="single"/>
                    </w:rPr>
                    <w:t>72.32</w:t>
                  </w:r>
                </w:p>
              </w:tc>
              <w:tc>
                <w:tcPr>
                  <w:tcW w:w="506" w:type="pct"/>
                  <w:vAlign w:val="center"/>
                </w:tcPr>
                <w:p w14:paraId="54B12AD9">
                  <w:pPr>
                    <w:autoSpaceDE w:val="0"/>
                    <w:autoSpaceDN w:val="0"/>
                    <w:adjustRightInd w:val="0"/>
                    <w:snapToGrid w:val="0"/>
                    <w:jc w:val="center"/>
                    <w:rPr>
                      <w:i/>
                      <w:iCs/>
                      <w:color w:val="auto"/>
                      <w:sz w:val="18"/>
                      <w:szCs w:val="18"/>
                      <w:u w:val="single"/>
                    </w:rPr>
                  </w:pPr>
                  <w:r>
                    <w:rPr>
                      <w:rFonts w:hint="eastAsia"/>
                      <w:i/>
                      <w:iCs/>
                      <w:color w:val="auto"/>
                      <w:sz w:val="18"/>
                      <w:szCs w:val="18"/>
                      <w:u w:val="single"/>
                    </w:rPr>
                    <w:t>有组织</w:t>
                  </w:r>
                </w:p>
              </w:tc>
              <w:tc>
                <w:tcPr>
                  <w:tcW w:w="1221" w:type="pct"/>
                  <w:vAlign w:val="center"/>
                </w:tcPr>
                <w:p w14:paraId="5332226C">
                  <w:pPr>
                    <w:autoSpaceDE w:val="0"/>
                    <w:autoSpaceDN w:val="0"/>
                    <w:adjustRightInd w:val="0"/>
                    <w:snapToGrid w:val="0"/>
                    <w:jc w:val="center"/>
                    <w:rPr>
                      <w:i/>
                      <w:iCs/>
                      <w:color w:val="auto"/>
                      <w:sz w:val="18"/>
                      <w:szCs w:val="18"/>
                      <w:u w:val="single"/>
                    </w:rPr>
                  </w:pPr>
                  <w:r>
                    <w:rPr>
                      <w:rFonts w:hint="eastAsia"/>
                      <w:i/>
                      <w:iCs/>
                      <w:color w:val="auto"/>
                      <w:sz w:val="18"/>
                      <w:szCs w:val="18"/>
                      <w:u w:val="single"/>
                    </w:rPr>
                    <w:t>1431.33</w:t>
                  </w:r>
                  <w:r>
                    <w:rPr>
                      <w:i/>
                      <w:iCs/>
                      <w:color w:val="auto"/>
                      <w:sz w:val="18"/>
                      <w:szCs w:val="18"/>
                      <w:u w:val="single"/>
                    </w:rPr>
                    <w:t>mg/m</w:t>
                  </w:r>
                  <w:r>
                    <w:rPr>
                      <w:i/>
                      <w:iCs/>
                      <w:color w:val="auto"/>
                      <w:sz w:val="18"/>
                      <w:szCs w:val="18"/>
                      <w:u w:val="single"/>
                      <w:vertAlign w:val="superscript"/>
                    </w:rPr>
                    <w:t>3</w:t>
                  </w:r>
                  <w:r>
                    <w:rPr>
                      <w:i/>
                      <w:iCs/>
                      <w:color w:val="auto"/>
                      <w:sz w:val="18"/>
                      <w:szCs w:val="18"/>
                      <w:u w:val="single"/>
                    </w:rPr>
                    <w:t>，</w:t>
                  </w:r>
                  <w:r>
                    <w:rPr>
                      <w:rFonts w:hint="eastAsia"/>
                      <w:i/>
                      <w:iCs/>
                      <w:color w:val="auto"/>
                      <w:sz w:val="18"/>
                      <w:szCs w:val="18"/>
                      <w:u w:val="single"/>
                    </w:rPr>
                    <w:t>68.704t/a</w:t>
                  </w:r>
                </w:p>
              </w:tc>
              <w:tc>
                <w:tcPr>
                  <w:tcW w:w="982" w:type="pct"/>
                  <w:vMerge w:val="restart"/>
                  <w:vAlign w:val="center"/>
                </w:tcPr>
                <w:p w14:paraId="1B6649FE">
                  <w:pPr>
                    <w:adjustRightInd w:val="0"/>
                    <w:snapToGrid w:val="0"/>
                    <w:jc w:val="center"/>
                    <w:rPr>
                      <w:i/>
                      <w:iCs/>
                      <w:color w:val="auto"/>
                      <w:sz w:val="18"/>
                      <w:szCs w:val="18"/>
                      <w:u w:val="single"/>
                    </w:rPr>
                  </w:pPr>
                  <w:r>
                    <w:rPr>
                      <w:rFonts w:hint="eastAsia"/>
                      <w:i/>
                      <w:iCs/>
                      <w:color w:val="auto"/>
                      <w:sz w:val="18"/>
                      <w:szCs w:val="18"/>
                      <w:u w:val="single"/>
                    </w:rPr>
                    <w:t>设备密闭，集气装置+布袋除尘器+15m高排气筒（DA001）</w:t>
                  </w:r>
                </w:p>
              </w:tc>
              <w:tc>
                <w:tcPr>
                  <w:tcW w:w="1388" w:type="pct"/>
                  <w:vAlign w:val="center"/>
                </w:tcPr>
                <w:p w14:paraId="776925AE">
                  <w:pPr>
                    <w:autoSpaceDE w:val="0"/>
                    <w:autoSpaceDN w:val="0"/>
                    <w:adjustRightInd w:val="0"/>
                    <w:snapToGrid w:val="0"/>
                    <w:ind w:firstLine="90" w:firstLineChars="50"/>
                    <w:jc w:val="center"/>
                    <w:rPr>
                      <w:i/>
                      <w:iCs/>
                      <w:color w:val="auto"/>
                      <w:sz w:val="18"/>
                      <w:szCs w:val="18"/>
                      <w:u w:val="single"/>
                    </w:rPr>
                  </w:pPr>
                  <w:r>
                    <w:rPr>
                      <w:rFonts w:hint="eastAsia"/>
                      <w:i/>
                      <w:iCs/>
                      <w:color w:val="auto"/>
                      <w:sz w:val="18"/>
                      <w:szCs w:val="18"/>
                      <w:u w:val="single"/>
                    </w:rPr>
                    <w:t>14.31</w:t>
                  </w:r>
                  <w:r>
                    <w:rPr>
                      <w:i/>
                      <w:iCs/>
                      <w:color w:val="auto"/>
                      <w:sz w:val="18"/>
                      <w:szCs w:val="18"/>
                      <w:u w:val="single"/>
                    </w:rPr>
                    <w:t>mg/m</w:t>
                  </w:r>
                  <w:r>
                    <w:rPr>
                      <w:i/>
                      <w:iCs/>
                      <w:color w:val="auto"/>
                      <w:sz w:val="18"/>
                      <w:szCs w:val="18"/>
                      <w:u w:val="single"/>
                      <w:vertAlign w:val="superscript"/>
                    </w:rPr>
                    <w:t>3</w:t>
                  </w:r>
                  <w:r>
                    <w:rPr>
                      <w:i/>
                      <w:iCs/>
                      <w:color w:val="auto"/>
                      <w:sz w:val="18"/>
                      <w:szCs w:val="18"/>
                      <w:u w:val="single"/>
                    </w:rPr>
                    <w:t>，</w:t>
                  </w:r>
                  <w:r>
                    <w:rPr>
                      <w:rFonts w:hint="eastAsia"/>
                      <w:i/>
                      <w:iCs/>
                      <w:color w:val="auto"/>
                      <w:sz w:val="18"/>
                      <w:szCs w:val="18"/>
                      <w:u w:val="single"/>
                    </w:rPr>
                    <w:t>0.687t/a（0.2147kg/h）</w:t>
                  </w:r>
                </w:p>
              </w:tc>
            </w:tr>
            <w:tr w14:paraId="3CF383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370" w:type="pct"/>
                  <w:vMerge w:val="continue"/>
                  <w:vAlign w:val="center"/>
                </w:tcPr>
                <w:p w14:paraId="50DFBC5A">
                  <w:pPr>
                    <w:pStyle w:val="72"/>
                    <w:adjustRightInd w:val="0"/>
                    <w:snapToGrid w:val="0"/>
                    <w:spacing w:line="240" w:lineRule="auto"/>
                    <w:ind w:firstLine="0" w:firstLineChars="0"/>
                    <w:jc w:val="center"/>
                    <w:rPr>
                      <w:rFonts w:ascii="Times New Roman" w:hAnsi="Times New Roman" w:cs="Times New Roman"/>
                      <w:i/>
                      <w:iCs/>
                      <w:color w:val="auto"/>
                      <w:sz w:val="18"/>
                      <w:szCs w:val="18"/>
                      <w:u w:val="single"/>
                    </w:rPr>
                  </w:pPr>
                </w:p>
              </w:tc>
              <w:tc>
                <w:tcPr>
                  <w:tcW w:w="532" w:type="pct"/>
                  <w:vMerge w:val="continue"/>
                  <w:vAlign w:val="center"/>
                </w:tcPr>
                <w:p w14:paraId="3622F85F">
                  <w:pPr>
                    <w:pStyle w:val="72"/>
                    <w:adjustRightInd w:val="0"/>
                    <w:snapToGrid w:val="0"/>
                    <w:spacing w:line="240" w:lineRule="auto"/>
                    <w:ind w:firstLine="0" w:firstLineChars="0"/>
                    <w:jc w:val="center"/>
                    <w:rPr>
                      <w:rFonts w:ascii="Times New Roman" w:hAnsi="Times New Roman" w:cs="Times New Roman"/>
                      <w:i/>
                      <w:iCs/>
                      <w:color w:val="auto"/>
                      <w:sz w:val="18"/>
                      <w:szCs w:val="18"/>
                      <w:u w:val="single"/>
                    </w:rPr>
                  </w:pPr>
                </w:p>
              </w:tc>
              <w:tc>
                <w:tcPr>
                  <w:tcW w:w="506" w:type="pct"/>
                  <w:vAlign w:val="center"/>
                </w:tcPr>
                <w:p w14:paraId="4FFC658C">
                  <w:pPr>
                    <w:autoSpaceDE w:val="0"/>
                    <w:autoSpaceDN w:val="0"/>
                    <w:adjustRightInd w:val="0"/>
                    <w:snapToGrid w:val="0"/>
                    <w:jc w:val="center"/>
                    <w:rPr>
                      <w:i/>
                      <w:iCs/>
                      <w:color w:val="auto"/>
                      <w:sz w:val="18"/>
                      <w:szCs w:val="18"/>
                      <w:u w:val="single"/>
                    </w:rPr>
                  </w:pPr>
                  <w:r>
                    <w:rPr>
                      <w:rFonts w:hint="eastAsia"/>
                      <w:i/>
                      <w:iCs/>
                      <w:color w:val="auto"/>
                      <w:sz w:val="18"/>
                      <w:szCs w:val="18"/>
                      <w:u w:val="single"/>
                    </w:rPr>
                    <w:t>无组织</w:t>
                  </w:r>
                </w:p>
              </w:tc>
              <w:tc>
                <w:tcPr>
                  <w:tcW w:w="1221" w:type="pct"/>
                  <w:vAlign w:val="center"/>
                </w:tcPr>
                <w:p w14:paraId="54EC9B3A">
                  <w:pPr>
                    <w:autoSpaceDE w:val="0"/>
                    <w:autoSpaceDN w:val="0"/>
                    <w:adjustRightInd w:val="0"/>
                    <w:snapToGrid w:val="0"/>
                    <w:jc w:val="center"/>
                    <w:rPr>
                      <w:i/>
                      <w:iCs/>
                      <w:color w:val="auto"/>
                      <w:sz w:val="18"/>
                      <w:szCs w:val="18"/>
                      <w:u w:val="single"/>
                    </w:rPr>
                  </w:pPr>
                  <w:r>
                    <w:rPr>
                      <w:rFonts w:hint="eastAsia"/>
                      <w:i/>
                      <w:iCs/>
                      <w:color w:val="auto"/>
                      <w:sz w:val="18"/>
                      <w:szCs w:val="18"/>
                      <w:u w:val="single"/>
                    </w:rPr>
                    <w:t>3.616t/a</w:t>
                  </w:r>
                </w:p>
              </w:tc>
              <w:tc>
                <w:tcPr>
                  <w:tcW w:w="982" w:type="pct"/>
                  <w:vMerge w:val="continue"/>
                  <w:vAlign w:val="center"/>
                </w:tcPr>
                <w:p w14:paraId="3E6E0ADA">
                  <w:pPr>
                    <w:adjustRightInd w:val="0"/>
                    <w:snapToGrid w:val="0"/>
                    <w:jc w:val="center"/>
                    <w:rPr>
                      <w:i/>
                      <w:iCs/>
                      <w:color w:val="auto"/>
                      <w:sz w:val="18"/>
                      <w:szCs w:val="18"/>
                      <w:u w:val="single"/>
                    </w:rPr>
                  </w:pPr>
                </w:p>
              </w:tc>
              <w:tc>
                <w:tcPr>
                  <w:tcW w:w="1388" w:type="pct"/>
                  <w:vAlign w:val="center"/>
                </w:tcPr>
                <w:p w14:paraId="01F3B9E0">
                  <w:pPr>
                    <w:autoSpaceDE w:val="0"/>
                    <w:autoSpaceDN w:val="0"/>
                    <w:adjustRightInd w:val="0"/>
                    <w:snapToGrid w:val="0"/>
                    <w:ind w:firstLine="90" w:firstLineChars="50"/>
                    <w:jc w:val="center"/>
                    <w:rPr>
                      <w:i/>
                      <w:iCs/>
                      <w:color w:val="auto"/>
                      <w:sz w:val="18"/>
                      <w:szCs w:val="18"/>
                      <w:u w:val="single"/>
                    </w:rPr>
                  </w:pPr>
                  <w:r>
                    <w:rPr>
                      <w:rFonts w:hint="eastAsia"/>
                      <w:i/>
                      <w:iCs/>
                      <w:color w:val="auto"/>
                      <w:sz w:val="18"/>
                      <w:szCs w:val="18"/>
                      <w:u w:val="single"/>
                    </w:rPr>
                    <w:t>3.616t/a</w:t>
                  </w:r>
                </w:p>
              </w:tc>
            </w:tr>
          </w:tbl>
          <w:p w14:paraId="52B99C4D">
            <w:pPr>
              <w:pStyle w:val="72"/>
              <w:adjustRightInd w:val="0"/>
              <w:snapToGrid w:val="0"/>
              <w:spacing w:line="240" w:lineRule="auto"/>
              <w:ind w:firstLine="200"/>
              <w:jc w:val="center"/>
              <w:rPr>
                <w:rFonts w:ascii="Times New Roman" w:hAnsi="Times New Roman" w:cs="Times New Roman"/>
                <w:i/>
                <w:iCs/>
                <w:color w:val="auto"/>
                <w:kern w:val="0"/>
                <w:sz w:val="10"/>
                <w:szCs w:val="10"/>
                <w:u w:val="single"/>
              </w:rPr>
            </w:pPr>
          </w:p>
          <w:p w14:paraId="3D50FE50">
            <w:pPr>
              <w:pStyle w:val="72"/>
              <w:adjustRightInd w:val="0"/>
              <w:snapToGrid w:val="0"/>
              <w:spacing w:line="240" w:lineRule="auto"/>
              <w:ind w:firstLine="420"/>
              <w:jc w:val="center"/>
              <w:rPr>
                <w:rFonts w:ascii="Times New Roman" w:hAnsi="Times New Roman" w:cs="Times New Roman"/>
                <w:i/>
                <w:iCs/>
                <w:color w:val="auto"/>
                <w:kern w:val="0"/>
                <w:sz w:val="21"/>
                <w:szCs w:val="21"/>
                <w:u w:val="single"/>
              </w:rPr>
            </w:pPr>
            <w:r>
              <w:rPr>
                <w:rFonts w:ascii="Times New Roman" w:hAnsi="Times New Roman" w:cs="Times New Roman"/>
                <w:i/>
                <w:iCs/>
                <w:color w:val="auto"/>
                <w:kern w:val="0"/>
                <w:sz w:val="21"/>
                <w:szCs w:val="21"/>
                <w:u w:val="single"/>
              </w:rPr>
              <w:t>排放口基本情况一览表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0"/>
              <w:gridCol w:w="862"/>
              <w:gridCol w:w="568"/>
              <w:gridCol w:w="670"/>
              <w:gridCol w:w="747"/>
              <w:gridCol w:w="1148"/>
              <w:gridCol w:w="2569"/>
            </w:tblGrid>
            <w:tr w14:paraId="025676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99" w:type="pct"/>
                  <w:tcBorders>
                    <w:right w:val="single" w:color="000000" w:sz="4" w:space="0"/>
                  </w:tcBorders>
                  <w:vAlign w:val="center"/>
                </w:tcPr>
                <w:p w14:paraId="6E59026F">
                  <w:pPr>
                    <w:jc w:val="center"/>
                    <w:rPr>
                      <w:i/>
                      <w:iCs/>
                      <w:color w:val="auto"/>
                      <w:sz w:val="18"/>
                      <w:szCs w:val="18"/>
                      <w:u w:val="single"/>
                    </w:rPr>
                  </w:pPr>
                  <w:r>
                    <w:rPr>
                      <w:i/>
                      <w:iCs/>
                      <w:color w:val="auto"/>
                      <w:sz w:val="18"/>
                      <w:szCs w:val="18"/>
                      <w:u w:val="single"/>
                    </w:rPr>
                    <w:t>排</w:t>
                  </w:r>
                  <w:r>
                    <w:rPr>
                      <w:rFonts w:hint="eastAsia"/>
                      <w:i/>
                      <w:iCs/>
                      <w:color w:val="auto"/>
                      <w:sz w:val="18"/>
                      <w:szCs w:val="18"/>
                      <w:u w:val="single"/>
                    </w:rPr>
                    <w:t>放</w:t>
                  </w:r>
                  <w:r>
                    <w:rPr>
                      <w:i/>
                      <w:iCs/>
                      <w:color w:val="auto"/>
                      <w:sz w:val="18"/>
                      <w:szCs w:val="18"/>
                      <w:u w:val="single"/>
                    </w:rPr>
                    <w:t>口名称</w:t>
                  </w:r>
                </w:p>
              </w:tc>
              <w:tc>
                <w:tcPr>
                  <w:tcW w:w="551" w:type="pct"/>
                  <w:tcBorders>
                    <w:left w:val="single" w:color="000000" w:sz="4" w:space="0"/>
                  </w:tcBorders>
                  <w:vAlign w:val="center"/>
                </w:tcPr>
                <w:p w14:paraId="4E94AFF1">
                  <w:pPr>
                    <w:jc w:val="center"/>
                    <w:rPr>
                      <w:i/>
                      <w:iCs/>
                      <w:color w:val="auto"/>
                      <w:sz w:val="18"/>
                      <w:szCs w:val="18"/>
                      <w:u w:val="single"/>
                    </w:rPr>
                  </w:pPr>
                  <w:r>
                    <w:rPr>
                      <w:i/>
                      <w:iCs/>
                      <w:color w:val="auto"/>
                      <w:sz w:val="18"/>
                      <w:szCs w:val="18"/>
                      <w:u w:val="single"/>
                    </w:rPr>
                    <w:t>编号</w:t>
                  </w:r>
                </w:p>
              </w:tc>
              <w:tc>
                <w:tcPr>
                  <w:tcW w:w="363" w:type="pct"/>
                  <w:vAlign w:val="center"/>
                </w:tcPr>
                <w:p w14:paraId="212D7ECB">
                  <w:pPr>
                    <w:jc w:val="center"/>
                    <w:rPr>
                      <w:i/>
                      <w:iCs/>
                      <w:color w:val="auto"/>
                      <w:sz w:val="18"/>
                      <w:szCs w:val="18"/>
                      <w:u w:val="single"/>
                    </w:rPr>
                  </w:pPr>
                  <w:r>
                    <w:rPr>
                      <w:i/>
                      <w:iCs/>
                      <w:color w:val="auto"/>
                      <w:sz w:val="18"/>
                      <w:szCs w:val="18"/>
                      <w:u w:val="single"/>
                    </w:rPr>
                    <w:t>高度</w:t>
                  </w:r>
                </w:p>
              </w:tc>
              <w:tc>
                <w:tcPr>
                  <w:tcW w:w="429" w:type="pct"/>
                  <w:vAlign w:val="center"/>
                </w:tcPr>
                <w:p w14:paraId="66AA8F33">
                  <w:pPr>
                    <w:jc w:val="center"/>
                    <w:rPr>
                      <w:i/>
                      <w:iCs/>
                      <w:color w:val="auto"/>
                      <w:sz w:val="18"/>
                      <w:szCs w:val="18"/>
                      <w:u w:val="single"/>
                    </w:rPr>
                  </w:pPr>
                  <w:r>
                    <w:rPr>
                      <w:i/>
                      <w:iCs/>
                      <w:color w:val="auto"/>
                      <w:sz w:val="18"/>
                      <w:szCs w:val="18"/>
                      <w:u w:val="single"/>
                    </w:rPr>
                    <w:t>内径</w:t>
                  </w:r>
                </w:p>
              </w:tc>
              <w:tc>
                <w:tcPr>
                  <w:tcW w:w="478" w:type="pct"/>
                  <w:tcBorders>
                    <w:right w:val="single" w:color="000000" w:sz="4" w:space="0"/>
                  </w:tcBorders>
                  <w:vAlign w:val="center"/>
                </w:tcPr>
                <w:p w14:paraId="5389E1F1">
                  <w:pPr>
                    <w:jc w:val="center"/>
                    <w:rPr>
                      <w:i/>
                      <w:iCs/>
                      <w:color w:val="auto"/>
                      <w:sz w:val="18"/>
                      <w:szCs w:val="18"/>
                      <w:u w:val="single"/>
                    </w:rPr>
                  </w:pPr>
                  <w:r>
                    <w:rPr>
                      <w:i/>
                      <w:iCs/>
                      <w:color w:val="auto"/>
                      <w:sz w:val="18"/>
                      <w:szCs w:val="18"/>
                      <w:u w:val="single"/>
                    </w:rPr>
                    <w:t>温度</w:t>
                  </w:r>
                </w:p>
              </w:tc>
              <w:tc>
                <w:tcPr>
                  <w:tcW w:w="735" w:type="pct"/>
                  <w:tcBorders>
                    <w:right w:val="single" w:color="000000" w:sz="4" w:space="0"/>
                  </w:tcBorders>
                  <w:vAlign w:val="center"/>
                </w:tcPr>
                <w:p w14:paraId="26A54941">
                  <w:pPr>
                    <w:jc w:val="center"/>
                    <w:rPr>
                      <w:i/>
                      <w:iCs/>
                      <w:color w:val="auto"/>
                      <w:sz w:val="18"/>
                      <w:szCs w:val="18"/>
                      <w:u w:val="single"/>
                    </w:rPr>
                  </w:pPr>
                  <w:r>
                    <w:rPr>
                      <w:i/>
                      <w:iCs/>
                      <w:color w:val="auto"/>
                      <w:sz w:val="18"/>
                      <w:szCs w:val="18"/>
                      <w:u w:val="single"/>
                    </w:rPr>
                    <w:t>类型</w:t>
                  </w:r>
                </w:p>
              </w:tc>
              <w:tc>
                <w:tcPr>
                  <w:tcW w:w="1643" w:type="pct"/>
                  <w:tcBorders>
                    <w:left w:val="single" w:color="000000" w:sz="4" w:space="0"/>
                  </w:tcBorders>
                  <w:vAlign w:val="center"/>
                </w:tcPr>
                <w:p w14:paraId="46972FB6">
                  <w:pPr>
                    <w:jc w:val="center"/>
                    <w:rPr>
                      <w:i/>
                      <w:iCs/>
                      <w:color w:val="auto"/>
                      <w:sz w:val="18"/>
                      <w:szCs w:val="18"/>
                      <w:u w:val="single"/>
                    </w:rPr>
                  </w:pPr>
                  <w:r>
                    <w:rPr>
                      <w:i/>
                      <w:iCs/>
                      <w:color w:val="auto"/>
                      <w:sz w:val="18"/>
                      <w:szCs w:val="18"/>
                      <w:u w:val="single"/>
                    </w:rPr>
                    <w:t>地理坐标</w:t>
                  </w:r>
                </w:p>
              </w:tc>
            </w:tr>
            <w:tr w14:paraId="7AB863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799" w:type="pct"/>
                  <w:tcBorders>
                    <w:top w:val="single" w:color="auto" w:sz="4" w:space="0"/>
                  </w:tcBorders>
                  <w:vAlign w:val="center"/>
                </w:tcPr>
                <w:p w14:paraId="3CE9C1E1">
                  <w:pPr>
                    <w:jc w:val="center"/>
                    <w:rPr>
                      <w:i/>
                      <w:iCs/>
                      <w:color w:val="auto"/>
                      <w:sz w:val="18"/>
                      <w:szCs w:val="18"/>
                      <w:u w:val="single"/>
                    </w:rPr>
                  </w:pPr>
                  <w:r>
                    <w:rPr>
                      <w:rFonts w:hint="eastAsia"/>
                      <w:i/>
                      <w:iCs/>
                      <w:color w:val="auto"/>
                      <w:sz w:val="18"/>
                      <w:szCs w:val="18"/>
                      <w:u w:val="single"/>
                    </w:rPr>
                    <w:t>废气</w:t>
                  </w:r>
                  <w:r>
                    <w:rPr>
                      <w:i/>
                      <w:iCs/>
                      <w:color w:val="auto"/>
                      <w:sz w:val="18"/>
                      <w:szCs w:val="18"/>
                      <w:u w:val="single"/>
                    </w:rPr>
                    <w:t>排口</w:t>
                  </w:r>
                </w:p>
              </w:tc>
              <w:tc>
                <w:tcPr>
                  <w:tcW w:w="551" w:type="pct"/>
                  <w:tcBorders>
                    <w:top w:val="single" w:color="auto" w:sz="4" w:space="0"/>
                  </w:tcBorders>
                  <w:vAlign w:val="center"/>
                </w:tcPr>
                <w:p w14:paraId="543694DA">
                  <w:pPr>
                    <w:jc w:val="center"/>
                    <w:rPr>
                      <w:i/>
                      <w:iCs/>
                      <w:color w:val="auto"/>
                      <w:sz w:val="18"/>
                      <w:szCs w:val="18"/>
                      <w:u w:val="single"/>
                    </w:rPr>
                  </w:pPr>
                  <w:r>
                    <w:rPr>
                      <w:rFonts w:hint="eastAsia"/>
                      <w:i/>
                      <w:iCs/>
                      <w:color w:val="auto"/>
                      <w:sz w:val="18"/>
                      <w:szCs w:val="18"/>
                      <w:u w:val="single"/>
                    </w:rPr>
                    <w:t>DA00</w:t>
                  </w:r>
                  <w:r>
                    <w:rPr>
                      <w:i/>
                      <w:iCs/>
                      <w:color w:val="auto"/>
                      <w:sz w:val="18"/>
                      <w:szCs w:val="18"/>
                      <w:u w:val="single"/>
                    </w:rPr>
                    <w:t>1</w:t>
                  </w:r>
                </w:p>
              </w:tc>
              <w:tc>
                <w:tcPr>
                  <w:tcW w:w="363" w:type="pct"/>
                  <w:vAlign w:val="center"/>
                </w:tcPr>
                <w:p w14:paraId="01255FF9">
                  <w:pPr>
                    <w:jc w:val="center"/>
                    <w:rPr>
                      <w:i/>
                      <w:iCs/>
                      <w:color w:val="auto"/>
                      <w:sz w:val="18"/>
                      <w:szCs w:val="18"/>
                      <w:u w:val="single"/>
                    </w:rPr>
                  </w:pPr>
                  <w:r>
                    <w:rPr>
                      <w:rFonts w:hint="eastAsia"/>
                      <w:i/>
                      <w:iCs/>
                      <w:color w:val="auto"/>
                      <w:sz w:val="18"/>
                      <w:szCs w:val="18"/>
                      <w:u w:val="single"/>
                    </w:rPr>
                    <w:t>15m</w:t>
                  </w:r>
                </w:p>
              </w:tc>
              <w:tc>
                <w:tcPr>
                  <w:tcW w:w="429" w:type="pct"/>
                  <w:vAlign w:val="center"/>
                </w:tcPr>
                <w:p w14:paraId="5334E3F7">
                  <w:pPr>
                    <w:jc w:val="center"/>
                    <w:rPr>
                      <w:i/>
                      <w:iCs/>
                      <w:color w:val="auto"/>
                      <w:sz w:val="18"/>
                      <w:szCs w:val="18"/>
                      <w:u w:val="single"/>
                    </w:rPr>
                  </w:pPr>
                  <w:r>
                    <w:rPr>
                      <w:rFonts w:hint="eastAsia"/>
                      <w:i/>
                      <w:iCs/>
                      <w:color w:val="auto"/>
                      <w:sz w:val="18"/>
                      <w:szCs w:val="18"/>
                      <w:u w:val="single"/>
                    </w:rPr>
                    <w:t>0.3m</w:t>
                  </w:r>
                </w:p>
              </w:tc>
              <w:tc>
                <w:tcPr>
                  <w:tcW w:w="478" w:type="pct"/>
                  <w:tcBorders>
                    <w:right w:val="single" w:color="000000" w:sz="4" w:space="0"/>
                  </w:tcBorders>
                  <w:vAlign w:val="center"/>
                </w:tcPr>
                <w:p w14:paraId="6446C792">
                  <w:pPr>
                    <w:jc w:val="center"/>
                    <w:rPr>
                      <w:i/>
                      <w:iCs/>
                      <w:color w:val="auto"/>
                      <w:sz w:val="18"/>
                      <w:szCs w:val="18"/>
                      <w:u w:val="single"/>
                    </w:rPr>
                  </w:pPr>
                  <w:r>
                    <w:rPr>
                      <w:rFonts w:hint="eastAsia"/>
                      <w:i/>
                      <w:iCs/>
                      <w:color w:val="auto"/>
                      <w:sz w:val="18"/>
                      <w:szCs w:val="18"/>
                      <w:u w:val="single"/>
                    </w:rPr>
                    <w:t>20℃</w:t>
                  </w:r>
                </w:p>
              </w:tc>
              <w:tc>
                <w:tcPr>
                  <w:tcW w:w="735" w:type="pct"/>
                  <w:tcBorders>
                    <w:right w:val="single" w:color="000000" w:sz="4" w:space="0"/>
                  </w:tcBorders>
                  <w:vAlign w:val="center"/>
                </w:tcPr>
                <w:p w14:paraId="359CF66B">
                  <w:pPr>
                    <w:jc w:val="center"/>
                    <w:rPr>
                      <w:i/>
                      <w:iCs/>
                      <w:color w:val="auto"/>
                      <w:sz w:val="18"/>
                      <w:szCs w:val="18"/>
                      <w:u w:val="single"/>
                    </w:rPr>
                  </w:pPr>
                  <w:r>
                    <w:rPr>
                      <w:i/>
                      <w:iCs/>
                      <w:color w:val="auto"/>
                      <w:sz w:val="18"/>
                      <w:szCs w:val="18"/>
                      <w:u w:val="single"/>
                    </w:rPr>
                    <w:t>一般排放口</w:t>
                  </w:r>
                </w:p>
              </w:tc>
              <w:tc>
                <w:tcPr>
                  <w:tcW w:w="1643" w:type="pct"/>
                  <w:tcBorders>
                    <w:left w:val="single" w:color="000000" w:sz="4" w:space="0"/>
                  </w:tcBorders>
                  <w:vAlign w:val="center"/>
                </w:tcPr>
                <w:p w14:paraId="5414D7CC">
                  <w:pPr>
                    <w:jc w:val="center"/>
                    <w:rPr>
                      <w:i/>
                      <w:iCs/>
                      <w:color w:val="auto"/>
                      <w:sz w:val="18"/>
                      <w:szCs w:val="18"/>
                      <w:u w:val="single"/>
                    </w:rPr>
                  </w:pPr>
                  <w:r>
                    <w:rPr>
                      <w:rFonts w:hint="eastAsia"/>
                      <w:i/>
                      <w:iCs/>
                      <w:color w:val="auto"/>
                      <w:sz w:val="18"/>
                      <w:szCs w:val="18"/>
                      <w:u w:val="single"/>
                    </w:rPr>
                    <w:t>126.597455366，41.954525250</w:t>
                  </w:r>
                </w:p>
              </w:tc>
            </w:tr>
          </w:tbl>
          <w:p w14:paraId="60452DF2">
            <w:pPr>
              <w:adjustRightInd w:val="0"/>
              <w:snapToGrid w:val="0"/>
              <w:spacing w:line="360" w:lineRule="auto"/>
              <w:ind w:firstLine="200" w:firstLineChars="200"/>
              <w:jc w:val="left"/>
              <w:rPr>
                <w:i/>
                <w:iCs/>
                <w:color w:val="auto"/>
                <w:sz w:val="10"/>
                <w:szCs w:val="10"/>
                <w:u w:val="single"/>
              </w:rPr>
            </w:pPr>
          </w:p>
          <w:p w14:paraId="1BFE9C31">
            <w:pPr>
              <w:adjustRightInd w:val="0"/>
              <w:snapToGrid w:val="0"/>
              <w:spacing w:line="360" w:lineRule="auto"/>
              <w:ind w:firstLine="420" w:firstLineChars="200"/>
              <w:jc w:val="left"/>
              <w:rPr>
                <w:i/>
                <w:iCs/>
                <w:color w:val="auto"/>
                <w:u w:val="single"/>
              </w:rPr>
            </w:pPr>
            <w:r>
              <w:rPr>
                <w:rFonts w:hint="eastAsia"/>
                <w:i/>
                <w:iCs/>
                <w:color w:val="auto"/>
                <w:u w:val="single"/>
              </w:rPr>
              <w:t>通过上表可知，破碎过程中颗粒物排放浓度、速率能够满足</w:t>
            </w:r>
            <w:r>
              <w:rPr>
                <w:i/>
                <w:iCs/>
                <w:color w:val="auto"/>
                <w:u w:val="single"/>
              </w:rPr>
              <w:t>GB</w:t>
            </w:r>
            <w:r>
              <w:rPr>
                <w:rFonts w:hint="eastAsia"/>
                <w:i/>
                <w:iCs/>
                <w:color w:val="auto"/>
                <w:u w:val="single"/>
              </w:rPr>
              <w:t>16297-1996</w:t>
            </w:r>
            <w:r>
              <w:rPr>
                <w:i/>
                <w:iCs/>
                <w:color w:val="auto"/>
                <w:u w:val="single"/>
              </w:rPr>
              <w:t>《大气污染物综合排放标准》中</w:t>
            </w:r>
            <w:r>
              <w:rPr>
                <w:rFonts w:hint="eastAsia"/>
                <w:i/>
                <w:iCs/>
                <w:color w:val="auto"/>
                <w:u w:val="single"/>
              </w:rPr>
              <w:t>二级标准限值要求。</w:t>
            </w:r>
          </w:p>
          <w:p w14:paraId="6BD39982">
            <w:pPr>
              <w:pStyle w:val="61"/>
              <w:snapToGrid w:val="0"/>
              <w:spacing w:line="360" w:lineRule="auto"/>
              <w:ind w:firstLine="480"/>
              <w:rPr>
                <w:rFonts w:ascii="Times New Roman" w:hAnsi="Times New Roman" w:cs="Times New Roman"/>
                <w:i/>
                <w:iCs/>
                <w:color w:val="auto"/>
                <w:sz w:val="21"/>
                <w:szCs w:val="21"/>
                <w:u w:val="single"/>
              </w:rPr>
            </w:pPr>
            <w:r>
              <w:rPr>
                <w:rFonts w:hint="eastAsia" w:ascii="Times New Roman" w:hAnsi="Times New Roman" w:cs="Times New Roman"/>
                <w:i/>
                <w:iCs/>
                <w:color w:val="auto"/>
                <w:sz w:val="21"/>
                <w:szCs w:val="21"/>
                <w:u w:val="single"/>
              </w:rPr>
              <w:t>（7）非正常工况排放</w:t>
            </w:r>
          </w:p>
          <w:p w14:paraId="309F86B3">
            <w:pPr>
              <w:pStyle w:val="80"/>
              <w:ind w:firstLine="420"/>
              <w:rPr>
                <w:i/>
                <w:iCs/>
                <w:color w:val="auto"/>
                <w:u w:val="single"/>
              </w:rPr>
            </w:pPr>
            <w:r>
              <w:rPr>
                <w:i/>
                <w:iCs/>
                <w:color w:val="auto"/>
                <w:u w:val="single"/>
              </w:rPr>
              <w:t>非正常及事故排放主要指装置在开、停车调试、检修及一般性事</w:t>
            </w:r>
            <w:r>
              <w:rPr>
                <w:rFonts w:ascii="宋体" w:hAnsi="宋体"/>
                <w:i/>
                <w:iCs/>
                <w:color w:val="auto"/>
                <w:u w:val="single"/>
              </w:rPr>
              <w:t>故时的“三废”排放，</w:t>
            </w:r>
            <w:r>
              <w:rPr>
                <w:i/>
                <w:iCs/>
                <w:color w:val="auto"/>
                <w:u w:val="single"/>
              </w:rPr>
              <w:t>本项目主要体现在以下几方面：</w:t>
            </w:r>
            <w:r>
              <w:rPr>
                <w:rFonts w:hint="eastAsia" w:ascii="宋体" w:hAnsi="宋体"/>
                <w:i/>
                <w:iCs/>
                <w:color w:val="auto"/>
                <w:u w:val="single"/>
              </w:rPr>
              <w:t>①</w:t>
            </w:r>
            <w:r>
              <w:rPr>
                <w:i/>
                <w:iCs/>
                <w:color w:val="auto"/>
                <w:u w:val="single"/>
              </w:rPr>
              <w:t>废气处理装置运行不正常出现的异常排放；</w:t>
            </w:r>
            <w:r>
              <w:rPr>
                <w:rFonts w:hint="eastAsia" w:ascii="宋体" w:hAnsi="宋体"/>
                <w:i/>
                <w:iCs/>
                <w:color w:val="auto"/>
                <w:u w:val="single"/>
              </w:rPr>
              <w:t>②</w:t>
            </w:r>
            <w:r>
              <w:rPr>
                <w:i/>
                <w:iCs/>
                <w:color w:val="auto"/>
                <w:u w:val="single"/>
              </w:rPr>
              <w:t>开、停车调试，检修等非正常工况排放分析。</w:t>
            </w:r>
          </w:p>
          <w:p w14:paraId="34151F21">
            <w:pPr>
              <w:pStyle w:val="80"/>
              <w:ind w:firstLine="420"/>
              <w:rPr>
                <w:b/>
                <w:bCs/>
                <w:i/>
                <w:iCs/>
                <w:color w:val="auto"/>
                <w:u w:val="single"/>
              </w:rPr>
            </w:pPr>
            <w:r>
              <w:rPr>
                <w:rFonts w:hint="eastAsia"/>
                <w:i/>
                <w:iCs/>
                <w:color w:val="auto"/>
                <w:u w:val="single"/>
              </w:rPr>
              <w:t>本次针对</w:t>
            </w:r>
            <w:r>
              <w:rPr>
                <w:rFonts w:hint="eastAsia" w:cs="Times New Roman"/>
                <w:i/>
                <w:iCs/>
                <w:color w:val="auto"/>
                <w:u w:val="single"/>
              </w:rPr>
              <w:t>破碎</w:t>
            </w:r>
            <w:r>
              <w:rPr>
                <w:rFonts w:cs="Times New Roman"/>
                <w:i/>
                <w:iCs/>
                <w:color w:val="auto"/>
                <w:u w:val="single"/>
              </w:rPr>
              <w:t>废气的处理措施非正常排放进行分析，</w:t>
            </w:r>
            <w:r>
              <w:rPr>
                <w:rFonts w:hint="eastAsia" w:cs="Times New Roman"/>
                <w:i/>
                <w:iCs/>
                <w:color w:val="auto"/>
                <w:u w:val="single"/>
              </w:rPr>
              <w:t>本项目考虑的情况，</w:t>
            </w:r>
            <w:r>
              <w:rPr>
                <w:rFonts w:cs="Times New Roman"/>
                <w:i/>
                <w:iCs/>
                <w:color w:val="auto"/>
                <w:u w:val="single"/>
              </w:rPr>
              <w:t>按废气污染物处理效率为</w:t>
            </w:r>
            <w:r>
              <w:rPr>
                <w:rFonts w:hint="eastAsia" w:cs="Times New Roman"/>
                <w:i/>
                <w:iCs/>
                <w:color w:val="auto"/>
                <w:u w:val="single"/>
              </w:rPr>
              <w:t>3</w:t>
            </w:r>
            <w:r>
              <w:rPr>
                <w:rFonts w:cs="Times New Roman"/>
                <w:i/>
                <w:iCs/>
                <w:color w:val="auto"/>
                <w:u w:val="single"/>
              </w:rPr>
              <w:t>0%进</w:t>
            </w:r>
            <w:r>
              <w:rPr>
                <w:rFonts w:cs="Times New Roman"/>
                <w:bCs/>
                <w:i/>
                <w:iCs/>
                <w:color w:val="auto"/>
                <w:u w:val="single"/>
              </w:rPr>
              <w:t>行计算。非正常工况情况下（按照每年</w:t>
            </w:r>
            <w:r>
              <w:rPr>
                <w:rFonts w:hint="eastAsia" w:cs="Times New Roman"/>
                <w:bCs/>
                <w:i/>
                <w:iCs/>
                <w:color w:val="auto"/>
                <w:u w:val="single"/>
              </w:rPr>
              <w:t>3</w:t>
            </w:r>
            <w:r>
              <w:rPr>
                <w:rFonts w:cs="Times New Roman"/>
                <w:bCs/>
                <w:i/>
                <w:iCs/>
                <w:color w:val="auto"/>
                <w:u w:val="single"/>
              </w:rPr>
              <w:t>次，每次持续时间2h计算），污染物产生排放情况见表。</w:t>
            </w:r>
          </w:p>
          <w:p w14:paraId="1A5B13B2">
            <w:pPr>
              <w:pStyle w:val="78"/>
              <w:spacing w:line="240" w:lineRule="auto"/>
              <w:ind w:left="420" w:firstLine="0"/>
              <w:rPr>
                <w:rFonts w:cs="宋体"/>
                <w:b w:val="0"/>
                <w:bCs/>
                <w:i/>
                <w:iCs/>
                <w:color w:val="auto"/>
                <w:u w:val="single"/>
              </w:rPr>
            </w:pPr>
            <w:r>
              <w:rPr>
                <w:rFonts w:cs="宋体"/>
                <w:b w:val="0"/>
                <w:bCs/>
                <w:i/>
                <w:iCs/>
                <w:color w:val="auto"/>
                <w:u w:val="single"/>
              </w:rPr>
              <w:t>非正常工况下废气产排情况一览表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903"/>
              <w:gridCol w:w="2104"/>
              <w:gridCol w:w="1653"/>
              <w:gridCol w:w="2055"/>
            </w:tblGrid>
            <w:tr w14:paraId="19D4F1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3" w:type="pct"/>
                  <w:vAlign w:val="center"/>
                </w:tcPr>
                <w:p w14:paraId="39D50272">
                  <w:pPr>
                    <w:pStyle w:val="33"/>
                    <w:spacing w:before="24" w:after="24"/>
                    <w:ind w:left="360" w:hanging="360"/>
                    <w:rPr>
                      <w:rFonts w:ascii="Times New Roman"/>
                      <w:i/>
                      <w:iCs/>
                      <w:color w:val="auto"/>
                      <w:sz w:val="18"/>
                      <w:szCs w:val="18"/>
                      <w:u w:val="single"/>
                    </w:rPr>
                  </w:pPr>
                  <w:r>
                    <w:rPr>
                      <w:rFonts w:ascii="Times New Roman"/>
                      <w:i/>
                      <w:iCs/>
                      <w:color w:val="auto"/>
                      <w:sz w:val="18"/>
                      <w:szCs w:val="18"/>
                      <w:u w:val="single"/>
                    </w:rPr>
                    <w:t>污染源</w:t>
                  </w:r>
                </w:p>
              </w:tc>
              <w:tc>
                <w:tcPr>
                  <w:tcW w:w="578" w:type="pct"/>
                  <w:vAlign w:val="center"/>
                </w:tcPr>
                <w:p w14:paraId="6DD792A7">
                  <w:pPr>
                    <w:pStyle w:val="33"/>
                    <w:spacing w:before="24" w:after="24"/>
                    <w:ind w:left="360" w:hanging="360"/>
                    <w:jc w:val="left"/>
                    <w:rPr>
                      <w:rFonts w:ascii="Times New Roman"/>
                      <w:i/>
                      <w:iCs/>
                      <w:color w:val="auto"/>
                      <w:sz w:val="18"/>
                      <w:szCs w:val="18"/>
                      <w:u w:val="single"/>
                    </w:rPr>
                  </w:pPr>
                  <w:r>
                    <w:rPr>
                      <w:rFonts w:ascii="Times New Roman"/>
                      <w:i/>
                      <w:iCs/>
                      <w:color w:val="auto"/>
                      <w:sz w:val="18"/>
                      <w:szCs w:val="18"/>
                      <w:u w:val="single"/>
                    </w:rPr>
                    <w:t>污染物</w:t>
                  </w:r>
                </w:p>
                <w:p w14:paraId="5ADF6206">
                  <w:pPr>
                    <w:pStyle w:val="33"/>
                    <w:spacing w:before="24" w:after="24"/>
                    <w:ind w:left="360" w:hanging="360"/>
                    <w:jc w:val="both"/>
                    <w:rPr>
                      <w:rFonts w:ascii="Times New Roman"/>
                      <w:i/>
                      <w:iCs/>
                      <w:color w:val="auto"/>
                      <w:sz w:val="18"/>
                      <w:szCs w:val="18"/>
                      <w:u w:val="single"/>
                    </w:rPr>
                  </w:pPr>
                  <w:r>
                    <w:rPr>
                      <w:rFonts w:ascii="Times New Roman"/>
                      <w:i/>
                      <w:iCs/>
                      <w:color w:val="auto"/>
                      <w:sz w:val="18"/>
                      <w:szCs w:val="18"/>
                      <w:u w:val="single"/>
                    </w:rPr>
                    <w:t>名称</w:t>
                  </w:r>
                </w:p>
              </w:tc>
              <w:tc>
                <w:tcPr>
                  <w:tcW w:w="1345" w:type="pct"/>
                  <w:vAlign w:val="center"/>
                </w:tcPr>
                <w:p w14:paraId="3121C5A5">
                  <w:pPr>
                    <w:pStyle w:val="33"/>
                    <w:spacing w:before="24" w:after="24"/>
                    <w:ind w:left="360" w:hanging="360"/>
                    <w:rPr>
                      <w:rFonts w:ascii="Times New Roman"/>
                      <w:i/>
                      <w:iCs/>
                      <w:color w:val="auto"/>
                      <w:sz w:val="18"/>
                      <w:szCs w:val="18"/>
                      <w:u w:val="single"/>
                    </w:rPr>
                  </w:pPr>
                  <w:r>
                    <w:rPr>
                      <w:rFonts w:ascii="Times New Roman"/>
                      <w:i/>
                      <w:iCs/>
                      <w:color w:val="auto"/>
                      <w:sz w:val="18"/>
                      <w:szCs w:val="18"/>
                      <w:u w:val="single"/>
                    </w:rPr>
                    <w:t>产生量及浓度</w:t>
                  </w:r>
                </w:p>
              </w:tc>
              <w:tc>
                <w:tcPr>
                  <w:tcW w:w="1057" w:type="pct"/>
                  <w:vAlign w:val="center"/>
                </w:tcPr>
                <w:p w14:paraId="3C68AAD5">
                  <w:pPr>
                    <w:pStyle w:val="33"/>
                    <w:spacing w:before="24" w:after="24"/>
                    <w:ind w:left="360" w:hanging="360"/>
                    <w:rPr>
                      <w:rFonts w:ascii="Times New Roman"/>
                      <w:i/>
                      <w:iCs/>
                      <w:color w:val="auto"/>
                      <w:sz w:val="18"/>
                      <w:szCs w:val="18"/>
                      <w:u w:val="single"/>
                    </w:rPr>
                  </w:pPr>
                  <w:r>
                    <w:rPr>
                      <w:rFonts w:ascii="Times New Roman"/>
                      <w:i/>
                      <w:iCs/>
                      <w:color w:val="auto"/>
                      <w:sz w:val="18"/>
                      <w:szCs w:val="18"/>
                      <w:u w:val="single"/>
                    </w:rPr>
                    <w:t>防治措施</w:t>
                  </w:r>
                </w:p>
              </w:tc>
              <w:tc>
                <w:tcPr>
                  <w:tcW w:w="1314" w:type="pct"/>
                  <w:vAlign w:val="center"/>
                </w:tcPr>
                <w:p w14:paraId="2A234E7A">
                  <w:pPr>
                    <w:pStyle w:val="33"/>
                    <w:spacing w:before="24" w:after="24"/>
                    <w:ind w:left="360" w:hanging="360"/>
                    <w:rPr>
                      <w:rFonts w:ascii="Times New Roman"/>
                      <w:i/>
                      <w:iCs/>
                      <w:color w:val="auto"/>
                      <w:sz w:val="18"/>
                      <w:szCs w:val="18"/>
                      <w:u w:val="single"/>
                    </w:rPr>
                  </w:pPr>
                  <w:r>
                    <w:rPr>
                      <w:rFonts w:ascii="Times New Roman"/>
                      <w:i/>
                      <w:iCs/>
                      <w:color w:val="auto"/>
                      <w:sz w:val="18"/>
                      <w:szCs w:val="18"/>
                      <w:u w:val="single"/>
                    </w:rPr>
                    <w:t>排放量及浓度</w:t>
                  </w:r>
                </w:p>
              </w:tc>
            </w:tr>
            <w:tr w14:paraId="098CC7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03" w:type="pct"/>
                  <w:vAlign w:val="center"/>
                </w:tcPr>
                <w:p w14:paraId="0C27DA4F">
                  <w:pPr>
                    <w:pStyle w:val="33"/>
                    <w:spacing w:before="24" w:after="24"/>
                    <w:ind w:left="360" w:hanging="360"/>
                    <w:rPr>
                      <w:rFonts w:ascii="Times New Roman"/>
                      <w:i/>
                      <w:iCs/>
                      <w:color w:val="auto"/>
                      <w:sz w:val="18"/>
                      <w:szCs w:val="18"/>
                      <w:u w:val="single"/>
                    </w:rPr>
                  </w:pPr>
                  <w:r>
                    <w:rPr>
                      <w:rFonts w:hint="eastAsia" w:ascii="Times New Roman"/>
                      <w:i/>
                      <w:iCs/>
                      <w:color w:val="auto"/>
                      <w:sz w:val="18"/>
                      <w:szCs w:val="18"/>
                      <w:u w:val="single"/>
                    </w:rPr>
                    <w:t>破碎废气</w:t>
                  </w:r>
                </w:p>
                <w:p w14:paraId="2B3FB12E">
                  <w:pPr>
                    <w:jc w:val="center"/>
                    <w:rPr>
                      <w:i/>
                      <w:iCs/>
                      <w:color w:val="auto"/>
                      <w:sz w:val="18"/>
                      <w:szCs w:val="18"/>
                      <w:u w:val="single"/>
                    </w:rPr>
                  </w:pPr>
                  <w:r>
                    <w:rPr>
                      <w:rFonts w:hint="eastAsia"/>
                      <w:i/>
                      <w:iCs/>
                      <w:color w:val="auto"/>
                      <w:sz w:val="18"/>
                      <w:szCs w:val="18"/>
                      <w:u w:val="single"/>
                    </w:rPr>
                    <w:t>（DA001）</w:t>
                  </w:r>
                </w:p>
              </w:tc>
              <w:tc>
                <w:tcPr>
                  <w:tcW w:w="578" w:type="pct"/>
                  <w:vAlign w:val="center"/>
                </w:tcPr>
                <w:p w14:paraId="6C9D44A1">
                  <w:pPr>
                    <w:pStyle w:val="33"/>
                    <w:spacing w:before="24" w:after="24"/>
                    <w:ind w:left="360" w:hanging="360"/>
                    <w:rPr>
                      <w:rFonts w:ascii="Times New Roman"/>
                      <w:i/>
                      <w:iCs/>
                      <w:color w:val="auto"/>
                      <w:sz w:val="18"/>
                      <w:szCs w:val="18"/>
                      <w:u w:val="single"/>
                    </w:rPr>
                  </w:pPr>
                  <w:r>
                    <w:rPr>
                      <w:rFonts w:hint="eastAsia" w:ascii="Times New Roman"/>
                      <w:i/>
                      <w:iCs/>
                      <w:color w:val="auto"/>
                      <w:sz w:val="18"/>
                      <w:szCs w:val="18"/>
                      <w:u w:val="single"/>
                    </w:rPr>
                    <w:t>颗粒物</w:t>
                  </w:r>
                </w:p>
              </w:tc>
              <w:tc>
                <w:tcPr>
                  <w:tcW w:w="1345" w:type="pct"/>
                  <w:vAlign w:val="center"/>
                </w:tcPr>
                <w:p w14:paraId="3B13814C">
                  <w:pPr>
                    <w:rPr>
                      <w:i/>
                      <w:iCs/>
                      <w:color w:val="auto"/>
                      <w:sz w:val="18"/>
                      <w:szCs w:val="18"/>
                      <w:u w:val="single"/>
                    </w:rPr>
                  </w:pPr>
                  <w:r>
                    <w:rPr>
                      <w:rFonts w:hint="eastAsia"/>
                      <w:i/>
                      <w:iCs/>
                      <w:color w:val="auto"/>
                      <w:sz w:val="18"/>
                      <w:szCs w:val="18"/>
                      <w:u w:val="single"/>
                    </w:rPr>
                    <w:t>129.83</w:t>
                  </w:r>
                  <w:r>
                    <w:rPr>
                      <w:i/>
                      <w:iCs/>
                      <w:color w:val="auto"/>
                      <w:sz w:val="18"/>
                      <w:szCs w:val="18"/>
                      <w:u w:val="single"/>
                    </w:rPr>
                    <w:t>kg</w:t>
                  </w:r>
                  <w:r>
                    <w:rPr>
                      <w:rFonts w:hint="eastAsia"/>
                      <w:i/>
                      <w:iCs/>
                      <w:color w:val="auto"/>
                      <w:sz w:val="18"/>
                      <w:szCs w:val="18"/>
                      <w:u w:val="single"/>
                    </w:rPr>
                    <w:t>，1442.52</w:t>
                  </w:r>
                  <w:r>
                    <w:rPr>
                      <w:i/>
                      <w:iCs/>
                      <w:color w:val="auto"/>
                      <w:sz w:val="18"/>
                      <w:szCs w:val="18"/>
                      <w:u w:val="single"/>
                    </w:rPr>
                    <w:t>mg/m</w:t>
                  </w:r>
                  <w:r>
                    <w:rPr>
                      <w:i/>
                      <w:iCs/>
                      <w:color w:val="auto"/>
                      <w:sz w:val="18"/>
                      <w:szCs w:val="18"/>
                      <w:u w:val="single"/>
                      <w:vertAlign w:val="superscript"/>
                    </w:rPr>
                    <w:t>3</w:t>
                  </w:r>
                </w:p>
              </w:tc>
              <w:tc>
                <w:tcPr>
                  <w:tcW w:w="1057" w:type="pct"/>
                  <w:vAlign w:val="center"/>
                </w:tcPr>
                <w:p w14:paraId="3E31842F">
                  <w:pPr>
                    <w:rPr>
                      <w:i/>
                      <w:iCs/>
                      <w:color w:val="auto"/>
                      <w:sz w:val="18"/>
                      <w:szCs w:val="18"/>
                      <w:u w:val="single"/>
                    </w:rPr>
                  </w:pPr>
                  <w:r>
                    <w:rPr>
                      <w:i/>
                      <w:iCs/>
                      <w:color w:val="auto"/>
                      <w:sz w:val="18"/>
                      <w:szCs w:val="18"/>
                      <w:u w:val="single"/>
                    </w:rPr>
                    <w:t>废气系统故障，效率</w:t>
                  </w:r>
                  <w:r>
                    <w:rPr>
                      <w:rFonts w:hint="eastAsia"/>
                      <w:i/>
                      <w:iCs/>
                      <w:color w:val="auto"/>
                      <w:sz w:val="18"/>
                      <w:szCs w:val="18"/>
                      <w:u w:val="single"/>
                    </w:rPr>
                    <w:t>30</w:t>
                  </w:r>
                  <w:r>
                    <w:rPr>
                      <w:i/>
                      <w:iCs/>
                      <w:color w:val="auto"/>
                      <w:sz w:val="18"/>
                      <w:szCs w:val="18"/>
                      <w:u w:val="single"/>
                    </w:rPr>
                    <w:t>%</w:t>
                  </w:r>
                  <w:r>
                    <w:rPr>
                      <w:rFonts w:hint="eastAsia"/>
                      <w:i/>
                      <w:iCs/>
                      <w:color w:val="auto"/>
                      <w:sz w:val="18"/>
                      <w:szCs w:val="18"/>
                      <w:u w:val="single"/>
                    </w:rPr>
                    <w:t>；按照每年3次，每次持续时间2h计算</w:t>
                  </w:r>
                </w:p>
              </w:tc>
              <w:tc>
                <w:tcPr>
                  <w:tcW w:w="1314" w:type="pct"/>
                  <w:vAlign w:val="center"/>
                </w:tcPr>
                <w:p w14:paraId="53E94AD0">
                  <w:pPr>
                    <w:pStyle w:val="33"/>
                    <w:spacing w:before="24" w:after="24"/>
                    <w:ind w:left="360" w:hanging="360"/>
                    <w:rPr>
                      <w:rFonts w:ascii="Times New Roman"/>
                      <w:i/>
                      <w:iCs/>
                      <w:color w:val="auto"/>
                      <w:sz w:val="18"/>
                      <w:szCs w:val="18"/>
                      <w:u w:val="single"/>
                    </w:rPr>
                  </w:pPr>
                  <w:r>
                    <w:rPr>
                      <w:rFonts w:hint="eastAsia" w:ascii="Times New Roman"/>
                      <w:i/>
                      <w:iCs/>
                      <w:color w:val="auto"/>
                      <w:sz w:val="18"/>
                      <w:szCs w:val="18"/>
                      <w:u w:val="single"/>
                    </w:rPr>
                    <w:t>90.88kg</w:t>
                  </w:r>
                  <w:r>
                    <w:rPr>
                      <w:rFonts w:ascii="Times New Roman"/>
                      <w:i/>
                      <w:iCs/>
                      <w:color w:val="auto"/>
                      <w:sz w:val="18"/>
                      <w:szCs w:val="18"/>
                      <w:u w:val="single"/>
                    </w:rPr>
                    <w:t>，</w:t>
                  </w:r>
                  <w:r>
                    <w:rPr>
                      <w:rFonts w:hint="eastAsia" w:ascii="Times New Roman"/>
                      <w:i/>
                      <w:iCs/>
                      <w:color w:val="auto"/>
                      <w:sz w:val="18"/>
                      <w:szCs w:val="18"/>
                      <w:u w:val="single"/>
                    </w:rPr>
                    <w:t>1009.76</w:t>
                  </w:r>
                  <w:r>
                    <w:rPr>
                      <w:rFonts w:ascii="Times New Roman"/>
                      <w:i/>
                      <w:iCs/>
                      <w:color w:val="auto"/>
                      <w:sz w:val="18"/>
                      <w:szCs w:val="18"/>
                      <w:u w:val="single"/>
                    </w:rPr>
                    <w:t>mg/m</w:t>
                  </w:r>
                  <w:r>
                    <w:rPr>
                      <w:rFonts w:ascii="Times New Roman"/>
                      <w:i/>
                      <w:iCs/>
                      <w:color w:val="auto"/>
                      <w:sz w:val="18"/>
                      <w:szCs w:val="18"/>
                      <w:u w:val="single"/>
                      <w:vertAlign w:val="superscript"/>
                    </w:rPr>
                    <w:t>3</w:t>
                  </w:r>
                </w:p>
              </w:tc>
            </w:tr>
          </w:tbl>
          <w:p w14:paraId="1AB9F9A3">
            <w:pPr>
              <w:pStyle w:val="80"/>
              <w:ind w:firstLine="200"/>
              <w:rPr>
                <w:i/>
                <w:iCs/>
                <w:color w:val="auto"/>
                <w:sz w:val="10"/>
                <w:szCs w:val="10"/>
                <w:u w:val="single"/>
              </w:rPr>
            </w:pPr>
          </w:p>
          <w:p w14:paraId="2DF6C28C">
            <w:pPr>
              <w:pStyle w:val="61"/>
              <w:snapToGrid w:val="0"/>
              <w:spacing w:line="360" w:lineRule="auto"/>
              <w:ind w:firstLine="480"/>
              <w:rPr>
                <w:rFonts w:ascii="Times New Roman" w:hAnsi="Times New Roman" w:cs="Times New Roman"/>
                <w:i/>
                <w:iCs/>
                <w:color w:val="auto"/>
                <w:sz w:val="21"/>
                <w:szCs w:val="21"/>
                <w:u w:val="single"/>
              </w:rPr>
            </w:pPr>
            <w:r>
              <w:rPr>
                <w:rFonts w:hint="eastAsia"/>
                <w:i/>
                <w:iCs/>
                <w:color w:val="auto"/>
                <w:sz w:val="21"/>
                <w:szCs w:val="21"/>
                <w:u w:val="single"/>
              </w:rPr>
              <w:t>非正常工况下，颗粒物的排放量会大幅度增加，对周围环境会产生不利影响，导致废气排放浓度、速率不能满足</w:t>
            </w:r>
            <w:r>
              <w:rPr>
                <w:rFonts w:ascii="Times New Roman" w:hAnsi="Times New Roman" w:cs="Times New Roman"/>
                <w:i/>
                <w:iCs/>
                <w:color w:val="auto"/>
                <w:sz w:val="21"/>
                <w:szCs w:val="21"/>
                <w:u w:val="single"/>
              </w:rPr>
              <w:t>GB16297-1996《大气污染物综合排放标准》中二级标准限值要求</w:t>
            </w:r>
            <w:r>
              <w:rPr>
                <w:rFonts w:hint="eastAsia" w:hAnsi="宋体"/>
                <w:i/>
                <w:iCs/>
                <w:color w:val="auto"/>
                <w:sz w:val="21"/>
                <w:szCs w:val="21"/>
                <w:u w:val="single"/>
              </w:rPr>
              <w:t>。故建设单位应按照加强环保设备维护保养、加强巡检等措施，</w:t>
            </w:r>
            <w:r>
              <w:rPr>
                <w:i/>
                <w:iCs/>
                <w:color w:val="auto"/>
                <w:sz w:val="21"/>
                <w:szCs w:val="21"/>
                <w:u w:val="single"/>
              </w:rPr>
              <w:t>一旦发现</w:t>
            </w:r>
            <w:r>
              <w:rPr>
                <w:rFonts w:hint="eastAsia"/>
                <w:i/>
                <w:iCs/>
                <w:color w:val="auto"/>
                <w:sz w:val="21"/>
                <w:szCs w:val="21"/>
                <w:u w:val="single"/>
              </w:rPr>
              <w:t>废气浓度异常</w:t>
            </w:r>
            <w:r>
              <w:rPr>
                <w:i/>
                <w:iCs/>
                <w:color w:val="auto"/>
                <w:sz w:val="21"/>
                <w:szCs w:val="21"/>
                <w:u w:val="single"/>
              </w:rPr>
              <w:t>，立即</w:t>
            </w:r>
            <w:r>
              <w:rPr>
                <w:rFonts w:hint="eastAsia"/>
                <w:i/>
                <w:iCs/>
                <w:color w:val="auto"/>
                <w:sz w:val="21"/>
                <w:szCs w:val="21"/>
                <w:u w:val="single"/>
              </w:rPr>
              <w:t>停止生产，</w:t>
            </w:r>
            <w:r>
              <w:rPr>
                <w:i/>
                <w:iCs/>
                <w:color w:val="auto"/>
                <w:sz w:val="21"/>
                <w:szCs w:val="21"/>
                <w:u w:val="single"/>
              </w:rPr>
              <w:t>查找原因并进行抢修。此外，在平时日常生产过程中应加强生产设备和环保设施的维护及检修，避免治理措施发生故障导致的异常排放。</w:t>
            </w:r>
          </w:p>
          <w:p w14:paraId="2E52373A">
            <w:pPr>
              <w:pStyle w:val="61"/>
              <w:snapToGrid w:val="0"/>
              <w:spacing w:line="360" w:lineRule="auto"/>
              <w:ind w:firstLine="480"/>
              <w:rPr>
                <w:rFonts w:ascii="Times New Roman" w:hAnsi="Times New Roman" w:cs="Times New Roman"/>
                <w:i/>
                <w:iCs/>
                <w:color w:val="auto"/>
                <w:sz w:val="21"/>
                <w:szCs w:val="21"/>
                <w:u w:val="single"/>
              </w:rPr>
            </w:pPr>
            <w:r>
              <w:rPr>
                <w:rFonts w:hint="eastAsia" w:ascii="Times New Roman" w:hAnsi="Times New Roman" w:cs="Times New Roman"/>
                <w:i/>
                <w:iCs/>
                <w:color w:val="auto"/>
                <w:sz w:val="21"/>
                <w:szCs w:val="21"/>
                <w:u w:val="single"/>
              </w:rPr>
              <w:t>（8）项目废气排放情况汇总</w:t>
            </w:r>
          </w:p>
          <w:p w14:paraId="1ABFA8C8">
            <w:pPr>
              <w:spacing w:line="360" w:lineRule="auto"/>
              <w:ind w:firstLine="420" w:firstLineChars="200"/>
              <w:rPr>
                <w:i/>
                <w:iCs/>
                <w:color w:val="auto"/>
                <w:u w:val="single"/>
              </w:rPr>
            </w:pPr>
            <w:r>
              <w:rPr>
                <w:i/>
                <w:iCs/>
                <w:color w:val="auto"/>
                <w:u w:val="single"/>
              </w:rPr>
              <w:t>本项目污染物产排情况详见下表。</w:t>
            </w:r>
          </w:p>
          <w:p w14:paraId="46BBDF62">
            <w:pPr>
              <w:pStyle w:val="13"/>
              <w:numPr>
                <w:ilvl w:val="0"/>
                <w:numId w:val="0"/>
              </w:numPr>
              <w:jc w:val="center"/>
              <w:rPr>
                <w:bCs/>
                <w:i/>
                <w:iCs/>
                <w:color w:val="auto"/>
                <w:kern w:val="2"/>
                <w:highlight w:val="none"/>
                <w:u w:val="single"/>
                <w:lang w:val="zh-CN"/>
              </w:rPr>
            </w:pPr>
            <w:r>
              <w:rPr>
                <w:bCs/>
                <w:i/>
                <w:iCs/>
                <w:color w:val="auto"/>
                <w:kern w:val="2"/>
                <w:highlight w:val="none"/>
                <w:u w:val="single"/>
                <w:lang w:val="zh-CN"/>
              </w:rPr>
              <w:t>大气污染物排放量核算表</w:t>
            </w:r>
          </w:p>
          <w:tbl>
            <w:tblPr>
              <w:tblStyle w:val="24"/>
              <w:tblW w:w="7773"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610"/>
              <w:gridCol w:w="990"/>
              <w:gridCol w:w="760"/>
              <w:gridCol w:w="660"/>
              <w:gridCol w:w="730"/>
              <w:gridCol w:w="1293"/>
              <w:gridCol w:w="747"/>
              <w:gridCol w:w="950"/>
              <w:gridCol w:w="1033"/>
            </w:tblGrid>
            <w:tr w14:paraId="7D0A841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610" w:type="dxa"/>
                  <w:noWrap/>
                  <w:vAlign w:val="center"/>
                </w:tcPr>
                <w:p w14:paraId="0A2A1E21">
                  <w:pPr>
                    <w:jc w:val="center"/>
                    <w:rPr>
                      <w:bCs/>
                      <w:i/>
                      <w:iCs/>
                      <w:color w:val="auto"/>
                      <w:sz w:val="18"/>
                      <w:szCs w:val="18"/>
                      <w:highlight w:val="none"/>
                      <w:u w:val="single"/>
                    </w:rPr>
                  </w:pPr>
                  <w:r>
                    <w:rPr>
                      <w:bCs/>
                      <w:i/>
                      <w:iCs/>
                      <w:color w:val="auto"/>
                      <w:sz w:val="18"/>
                      <w:szCs w:val="18"/>
                      <w:highlight w:val="none"/>
                      <w:u w:val="single"/>
                    </w:rPr>
                    <w:t>序号</w:t>
                  </w:r>
                </w:p>
              </w:tc>
              <w:tc>
                <w:tcPr>
                  <w:tcW w:w="990" w:type="dxa"/>
                  <w:tcBorders>
                    <w:right w:val="single" w:color="auto" w:sz="4" w:space="0"/>
                  </w:tcBorders>
                  <w:noWrap/>
                  <w:vAlign w:val="center"/>
                </w:tcPr>
                <w:p w14:paraId="3B4C1831">
                  <w:pPr>
                    <w:jc w:val="center"/>
                    <w:rPr>
                      <w:bCs/>
                      <w:i/>
                      <w:iCs/>
                      <w:color w:val="auto"/>
                      <w:sz w:val="18"/>
                      <w:szCs w:val="18"/>
                      <w:highlight w:val="none"/>
                      <w:u w:val="single"/>
                    </w:rPr>
                  </w:pPr>
                  <w:r>
                    <w:rPr>
                      <w:bCs/>
                      <w:i/>
                      <w:iCs/>
                      <w:color w:val="auto"/>
                      <w:sz w:val="18"/>
                      <w:szCs w:val="18"/>
                      <w:highlight w:val="none"/>
                      <w:u w:val="single"/>
                    </w:rPr>
                    <w:t>产污环节</w:t>
                  </w:r>
                </w:p>
              </w:tc>
              <w:tc>
                <w:tcPr>
                  <w:tcW w:w="760" w:type="dxa"/>
                  <w:tcBorders>
                    <w:left w:val="single" w:color="auto" w:sz="4" w:space="0"/>
                  </w:tcBorders>
                  <w:noWrap/>
                  <w:vAlign w:val="center"/>
                </w:tcPr>
                <w:p w14:paraId="38FAA337">
                  <w:pPr>
                    <w:jc w:val="center"/>
                    <w:rPr>
                      <w:bCs/>
                      <w:i/>
                      <w:iCs/>
                      <w:color w:val="auto"/>
                      <w:sz w:val="18"/>
                      <w:szCs w:val="18"/>
                      <w:highlight w:val="none"/>
                      <w:u w:val="single"/>
                    </w:rPr>
                  </w:pPr>
                  <w:r>
                    <w:rPr>
                      <w:bCs/>
                      <w:i/>
                      <w:iCs/>
                      <w:color w:val="auto"/>
                      <w:sz w:val="18"/>
                      <w:szCs w:val="18"/>
                      <w:highlight w:val="none"/>
                      <w:u w:val="single"/>
                    </w:rPr>
                    <w:t>排放方式</w:t>
                  </w:r>
                </w:p>
              </w:tc>
              <w:tc>
                <w:tcPr>
                  <w:tcW w:w="660" w:type="dxa"/>
                  <w:noWrap/>
                  <w:vAlign w:val="center"/>
                </w:tcPr>
                <w:p w14:paraId="6496A41B">
                  <w:pPr>
                    <w:jc w:val="center"/>
                    <w:rPr>
                      <w:bCs/>
                      <w:i/>
                      <w:iCs/>
                      <w:color w:val="auto"/>
                      <w:sz w:val="18"/>
                      <w:szCs w:val="18"/>
                      <w:highlight w:val="none"/>
                      <w:u w:val="single"/>
                    </w:rPr>
                  </w:pPr>
                  <w:r>
                    <w:rPr>
                      <w:bCs/>
                      <w:i/>
                      <w:iCs/>
                      <w:color w:val="auto"/>
                      <w:sz w:val="18"/>
                      <w:szCs w:val="18"/>
                      <w:highlight w:val="none"/>
                      <w:u w:val="single"/>
                    </w:rPr>
                    <w:t>污染物</w:t>
                  </w:r>
                </w:p>
              </w:tc>
              <w:tc>
                <w:tcPr>
                  <w:tcW w:w="730" w:type="dxa"/>
                  <w:noWrap/>
                  <w:vAlign w:val="center"/>
                </w:tcPr>
                <w:p w14:paraId="0C76CB17">
                  <w:pPr>
                    <w:jc w:val="center"/>
                    <w:rPr>
                      <w:bCs/>
                      <w:i/>
                      <w:iCs/>
                      <w:color w:val="auto"/>
                      <w:sz w:val="18"/>
                      <w:szCs w:val="18"/>
                      <w:highlight w:val="none"/>
                      <w:u w:val="single"/>
                    </w:rPr>
                  </w:pPr>
                  <w:r>
                    <w:rPr>
                      <w:bCs/>
                      <w:i/>
                      <w:iCs/>
                      <w:color w:val="auto"/>
                      <w:sz w:val="18"/>
                      <w:szCs w:val="18"/>
                      <w:highlight w:val="none"/>
                      <w:u w:val="single"/>
                    </w:rPr>
                    <w:t>产生量t/a</w:t>
                  </w:r>
                </w:p>
              </w:tc>
              <w:tc>
                <w:tcPr>
                  <w:tcW w:w="1293" w:type="dxa"/>
                  <w:noWrap/>
                  <w:vAlign w:val="center"/>
                </w:tcPr>
                <w:p w14:paraId="55370494">
                  <w:pPr>
                    <w:jc w:val="center"/>
                    <w:rPr>
                      <w:bCs/>
                      <w:i/>
                      <w:iCs/>
                      <w:color w:val="auto"/>
                      <w:sz w:val="18"/>
                      <w:szCs w:val="18"/>
                      <w:highlight w:val="none"/>
                      <w:u w:val="single"/>
                    </w:rPr>
                  </w:pPr>
                  <w:r>
                    <w:rPr>
                      <w:bCs/>
                      <w:i/>
                      <w:iCs/>
                      <w:color w:val="auto"/>
                      <w:sz w:val="18"/>
                      <w:szCs w:val="18"/>
                      <w:highlight w:val="none"/>
                      <w:u w:val="single"/>
                    </w:rPr>
                    <w:t>治理</w:t>
                  </w:r>
                </w:p>
                <w:p w14:paraId="569A75D8">
                  <w:pPr>
                    <w:jc w:val="center"/>
                    <w:rPr>
                      <w:bCs/>
                      <w:i/>
                      <w:iCs/>
                      <w:color w:val="auto"/>
                      <w:sz w:val="18"/>
                      <w:szCs w:val="18"/>
                      <w:highlight w:val="none"/>
                      <w:u w:val="single"/>
                    </w:rPr>
                  </w:pPr>
                  <w:r>
                    <w:rPr>
                      <w:bCs/>
                      <w:i/>
                      <w:iCs/>
                      <w:color w:val="auto"/>
                      <w:sz w:val="18"/>
                      <w:szCs w:val="18"/>
                      <w:highlight w:val="none"/>
                      <w:u w:val="single"/>
                    </w:rPr>
                    <w:t>措施</w:t>
                  </w:r>
                </w:p>
              </w:tc>
              <w:tc>
                <w:tcPr>
                  <w:tcW w:w="747" w:type="dxa"/>
                  <w:noWrap/>
                  <w:vAlign w:val="center"/>
                </w:tcPr>
                <w:p w14:paraId="6F823450">
                  <w:pPr>
                    <w:jc w:val="center"/>
                    <w:rPr>
                      <w:bCs/>
                      <w:i/>
                      <w:iCs/>
                      <w:color w:val="auto"/>
                      <w:sz w:val="18"/>
                      <w:szCs w:val="18"/>
                      <w:highlight w:val="none"/>
                      <w:u w:val="single"/>
                    </w:rPr>
                  </w:pPr>
                  <w:r>
                    <w:rPr>
                      <w:bCs/>
                      <w:i/>
                      <w:iCs/>
                      <w:color w:val="auto"/>
                      <w:sz w:val="18"/>
                      <w:szCs w:val="18"/>
                      <w:highlight w:val="none"/>
                      <w:u w:val="single"/>
                    </w:rPr>
                    <w:t>去除</w:t>
                  </w:r>
                </w:p>
                <w:p w14:paraId="397CD073">
                  <w:pPr>
                    <w:jc w:val="center"/>
                    <w:rPr>
                      <w:bCs/>
                      <w:i/>
                      <w:iCs/>
                      <w:color w:val="auto"/>
                      <w:sz w:val="18"/>
                      <w:szCs w:val="18"/>
                      <w:highlight w:val="none"/>
                      <w:u w:val="single"/>
                    </w:rPr>
                  </w:pPr>
                  <w:r>
                    <w:rPr>
                      <w:bCs/>
                      <w:i/>
                      <w:iCs/>
                      <w:color w:val="auto"/>
                      <w:sz w:val="18"/>
                      <w:szCs w:val="18"/>
                      <w:highlight w:val="none"/>
                      <w:u w:val="single"/>
                    </w:rPr>
                    <w:t>效率%</w:t>
                  </w:r>
                </w:p>
              </w:tc>
              <w:tc>
                <w:tcPr>
                  <w:tcW w:w="950" w:type="dxa"/>
                  <w:noWrap/>
                  <w:vAlign w:val="center"/>
                </w:tcPr>
                <w:p w14:paraId="79AA5019">
                  <w:pPr>
                    <w:jc w:val="center"/>
                    <w:rPr>
                      <w:bCs/>
                      <w:i/>
                      <w:iCs/>
                      <w:color w:val="auto"/>
                      <w:sz w:val="18"/>
                      <w:szCs w:val="18"/>
                      <w:highlight w:val="none"/>
                      <w:u w:val="single"/>
                    </w:rPr>
                  </w:pPr>
                  <w:r>
                    <w:rPr>
                      <w:bCs/>
                      <w:i/>
                      <w:iCs/>
                      <w:color w:val="auto"/>
                      <w:sz w:val="18"/>
                      <w:szCs w:val="18"/>
                      <w:highlight w:val="none"/>
                      <w:u w:val="single"/>
                    </w:rPr>
                    <w:t>年排</w:t>
                  </w:r>
                </w:p>
                <w:p w14:paraId="149A19ED">
                  <w:pPr>
                    <w:jc w:val="center"/>
                    <w:rPr>
                      <w:bCs/>
                      <w:i/>
                      <w:iCs/>
                      <w:color w:val="auto"/>
                      <w:sz w:val="18"/>
                      <w:szCs w:val="18"/>
                      <w:highlight w:val="none"/>
                      <w:u w:val="single"/>
                    </w:rPr>
                  </w:pPr>
                  <w:r>
                    <w:rPr>
                      <w:bCs/>
                      <w:i/>
                      <w:iCs/>
                      <w:color w:val="auto"/>
                      <w:sz w:val="18"/>
                      <w:szCs w:val="18"/>
                      <w:highlight w:val="none"/>
                      <w:u w:val="single"/>
                    </w:rPr>
                    <w:t>放量t/a</w:t>
                  </w:r>
                </w:p>
              </w:tc>
              <w:tc>
                <w:tcPr>
                  <w:tcW w:w="1033" w:type="dxa"/>
                  <w:noWrap/>
                  <w:vAlign w:val="center"/>
                </w:tcPr>
                <w:p w14:paraId="3950C6F7">
                  <w:pPr>
                    <w:jc w:val="center"/>
                    <w:rPr>
                      <w:bCs/>
                      <w:i/>
                      <w:iCs/>
                      <w:color w:val="auto"/>
                      <w:sz w:val="18"/>
                      <w:szCs w:val="18"/>
                      <w:highlight w:val="none"/>
                      <w:u w:val="single"/>
                    </w:rPr>
                  </w:pPr>
                  <w:r>
                    <w:rPr>
                      <w:bCs/>
                      <w:i/>
                      <w:iCs/>
                      <w:color w:val="auto"/>
                      <w:sz w:val="18"/>
                      <w:szCs w:val="18"/>
                      <w:highlight w:val="none"/>
                      <w:u w:val="single"/>
                    </w:rPr>
                    <w:t>排放</w:t>
                  </w:r>
                </w:p>
                <w:p w14:paraId="0523F03B">
                  <w:pPr>
                    <w:jc w:val="center"/>
                    <w:rPr>
                      <w:bCs/>
                      <w:i/>
                      <w:iCs/>
                      <w:color w:val="auto"/>
                      <w:sz w:val="18"/>
                      <w:szCs w:val="18"/>
                      <w:highlight w:val="none"/>
                      <w:u w:val="single"/>
                    </w:rPr>
                  </w:pPr>
                  <w:r>
                    <w:rPr>
                      <w:bCs/>
                      <w:i/>
                      <w:iCs/>
                      <w:color w:val="auto"/>
                      <w:sz w:val="18"/>
                      <w:szCs w:val="18"/>
                      <w:highlight w:val="none"/>
                      <w:u w:val="single"/>
                    </w:rPr>
                    <w:t>速率kg/h</w:t>
                  </w:r>
                </w:p>
              </w:tc>
            </w:tr>
            <w:tr w14:paraId="095106F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65" w:hRule="atLeast"/>
                <w:jc w:val="center"/>
              </w:trPr>
              <w:tc>
                <w:tcPr>
                  <w:tcW w:w="610" w:type="dxa"/>
                  <w:vMerge w:val="restart"/>
                  <w:noWrap/>
                  <w:vAlign w:val="center"/>
                </w:tcPr>
                <w:p w14:paraId="0A4C1006">
                  <w:pPr>
                    <w:jc w:val="center"/>
                    <w:rPr>
                      <w:bCs/>
                      <w:i/>
                      <w:iCs/>
                      <w:color w:val="auto"/>
                      <w:sz w:val="18"/>
                      <w:szCs w:val="18"/>
                      <w:highlight w:val="none"/>
                      <w:u w:val="single"/>
                    </w:rPr>
                  </w:pPr>
                  <w:r>
                    <w:rPr>
                      <w:bCs/>
                      <w:i/>
                      <w:iCs/>
                      <w:color w:val="auto"/>
                      <w:sz w:val="18"/>
                      <w:szCs w:val="18"/>
                      <w:highlight w:val="none"/>
                      <w:u w:val="single"/>
                    </w:rPr>
                    <w:t>1</w:t>
                  </w:r>
                </w:p>
              </w:tc>
              <w:tc>
                <w:tcPr>
                  <w:tcW w:w="990" w:type="dxa"/>
                  <w:vMerge w:val="restart"/>
                  <w:tcBorders>
                    <w:right w:val="single" w:color="auto" w:sz="4" w:space="0"/>
                  </w:tcBorders>
                  <w:noWrap/>
                  <w:vAlign w:val="center"/>
                </w:tcPr>
                <w:p w14:paraId="29365EE5">
                  <w:pPr>
                    <w:jc w:val="center"/>
                    <w:rPr>
                      <w:bCs/>
                      <w:i/>
                      <w:iCs/>
                      <w:color w:val="auto"/>
                      <w:sz w:val="18"/>
                      <w:szCs w:val="18"/>
                      <w:highlight w:val="none"/>
                      <w:u w:val="single"/>
                    </w:rPr>
                  </w:pPr>
                  <w:r>
                    <w:rPr>
                      <w:i/>
                      <w:iCs/>
                      <w:color w:val="auto"/>
                      <w:sz w:val="18"/>
                      <w:szCs w:val="18"/>
                      <w:highlight w:val="none"/>
                      <w:u w:val="single"/>
                    </w:rPr>
                    <w:t>堆场扬尘</w:t>
                  </w:r>
                </w:p>
              </w:tc>
              <w:tc>
                <w:tcPr>
                  <w:tcW w:w="760" w:type="dxa"/>
                  <w:vMerge w:val="restart"/>
                  <w:tcBorders>
                    <w:left w:val="single" w:color="auto" w:sz="4" w:space="0"/>
                  </w:tcBorders>
                  <w:noWrap/>
                  <w:vAlign w:val="center"/>
                </w:tcPr>
                <w:p w14:paraId="6116A997">
                  <w:pPr>
                    <w:jc w:val="center"/>
                    <w:rPr>
                      <w:i/>
                      <w:iCs/>
                      <w:color w:val="auto"/>
                      <w:sz w:val="18"/>
                      <w:szCs w:val="18"/>
                      <w:highlight w:val="none"/>
                      <w:u w:val="single"/>
                    </w:rPr>
                  </w:pPr>
                  <w:r>
                    <w:rPr>
                      <w:bCs/>
                      <w:i/>
                      <w:iCs/>
                      <w:color w:val="auto"/>
                      <w:sz w:val="18"/>
                      <w:szCs w:val="18"/>
                      <w:highlight w:val="none"/>
                      <w:u w:val="single"/>
                    </w:rPr>
                    <w:t>无组织</w:t>
                  </w:r>
                </w:p>
              </w:tc>
              <w:tc>
                <w:tcPr>
                  <w:tcW w:w="660" w:type="dxa"/>
                  <w:vMerge w:val="restart"/>
                  <w:noWrap/>
                  <w:vAlign w:val="center"/>
                </w:tcPr>
                <w:p w14:paraId="3591034E">
                  <w:pPr>
                    <w:jc w:val="center"/>
                    <w:rPr>
                      <w:bCs/>
                      <w:i/>
                      <w:iCs/>
                      <w:color w:val="auto"/>
                      <w:sz w:val="18"/>
                      <w:szCs w:val="18"/>
                      <w:highlight w:val="none"/>
                      <w:u w:val="single"/>
                    </w:rPr>
                  </w:pPr>
                  <w:r>
                    <w:rPr>
                      <w:bCs/>
                      <w:i/>
                      <w:iCs/>
                      <w:color w:val="auto"/>
                      <w:sz w:val="18"/>
                      <w:szCs w:val="18"/>
                      <w:highlight w:val="none"/>
                      <w:u w:val="single"/>
                    </w:rPr>
                    <w:t>TSP</w:t>
                  </w:r>
                </w:p>
              </w:tc>
              <w:tc>
                <w:tcPr>
                  <w:tcW w:w="730" w:type="dxa"/>
                  <w:vMerge w:val="restart"/>
                  <w:noWrap/>
                  <w:vAlign w:val="center"/>
                </w:tcPr>
                <w:p w14:paraId="03B581B5">
                  <w:pPr>
                    <w:jc w:val="center"/>
                    <w:rPr>
                      <w:rFonts w:hint="default" w:eastAsia="宋体"/>
                      <w:i/>
                      <w:iCs/>
                      <w:color w:val="auto"/>
                      <w:spacing w:val="-2"/>
                      <w:sz w:val="18"/>
                      <w:szCs w:val="18"/>
                      <w:highlight w:val="none"/>
                      <w:u w:val="single"/>
                      <w:lang w:val="en-US" w:eastAsia="zh-CN"/>
                    </w:rPr>
                  </w:pPr>
                  <w:r>
                    <w:rPr>
                      <w:rFonts w:hint="eastAsia"/>
                      <w:i/>
                      <w:iCs/>
                      <w:color w:val="auto"/>
                      <w:spacing w:val="-2"/>
                      <w:sz w:val="18"/>
                      <w:szCs w:val="18"/>
                      <w:highlight w:val="none"/>
                      <w:u w:val="single"/>
                      <w:lang w:val="en-US" w:eastAsia="zh-CN"/>
                    </w:rPr>
                    <w:t>872.8392</w:t>
                  </w:r>
                </w:p>
              </w:tc>
              <w:tc>
                <w:tcPr>
                  <w:tcW w:w="1293" w:type="dxa"/>
                  <w:tcBorders>
                    <w:bottom w:val="single" w:color="auto" w:sz="4" w:space="0"/>
                  </w:tcBorders>
                  <w:noWrap/>
                  <w:vAlign w:val="center"/>
                </w:tcPr>
                <w:p w14:paraId="046E4857">
                  <w:pPr>
                    <w:jc w:val="center"/>
                    <w:rPr>
                      <w:bCs/>
                      <w:i/>
                      <w:iCs/>
                      <w:color w:val="auto"/>
                      <w:sz w:val="18"/>
                      <w:szCs w:val="18"/>
                      <w:highlight w:val="none"/>
                      <w:u w:val="single"/>
                    </w:rPr>
                  </w:pPr>
                  <w:r>
                    <w:rPr>
                      <w:rFonts w:hint="eastAsia"/>
                      <w:i/>
                      <w:iCs/>
                      <w:color w:val="auto"/>
                      <w:spacing w:val="-2"/>
                      <w:sz w:val="18"/>
                      <w:szCs w:val="18"/>
                      <w:highlight w:val="none"/>
                      <w:u w:val="single"/>
                      <w:lang w:val="en-US" w:eastAsia="zh-CN"/>
                    </w:rPr>
                    <w:t>围挡</w:t>
                  </w:r>
                </w:p>
              </w:tc>
              <w:tc>
                <w:tcPr>
                  <w:tcW w:w="747" w:type="dxa"/>
                  <w:tcBorders>
                    <w:bottom w:val="single" w:color="auto" w:sz="4" w:space="0"/>
                  </w:tcBorders>
                  <w:noWrap/>
                  <w:vAlign w:val="center"/>
                </w:tcPr>
                <w:p w14:paraId="26B47BFC">
                  <w:pPr>
                    <w:jc w:val="center"/>
                    <w:rPr>
                      <w:rFonts w:hint="default" w:eastAsia="宋体"/>
                      <w:bCs/>
                      <w:i/>
                      <w:iCs/>
                      <w:color w:val="auto"/>
                      <w:sz w:val="18"/>
                      <w:szCs w:val="18"/>
                      <w:highlight w:val="none"/>
                      <w:u w:val="single"/>
                      <w:lang w:val="en-US" w:eastAsia="zh-CN"/>
                    </w:rPr>
                  </w:pPr>
                  <w:r>
                    <w:rPr>
                      <w:rFonts w:hint="eastAsia"/>
                      <w:bCs/>
                      <w:i/>
                      <w:iCs/>
                      <w:color w:val="auto"/>
                      <w:sz w:val="18"/>
                      <w:szCs w:val="18"/>
                      <w:highlight w:val="none"/>
                      <w:u w:val="single"/>
                      <w:lang w:val="en-US" w:eastAsia="zh-CN"/>
                    </w:rPr>
                    <w:t>74</w:t>
                  </w:r>
                </w:p>
              </w:tc>
              <w:tc>
                <w:tcPr>
                  <w:tcW w:w="950" w:type="dxa"/>
                  <w:vMerge w:val="restart"/>
                  <w:noWrap/>
                  <w:vAlign w:val="center"/>
                </w:tcPr>
                <w:p w14:paraId="43CF845F">
                  <w:pPr>
                    <w:jc w:val="center"/>
                    <w:rPr>
                      <w:rFonts w:hint="default" w:eastAsia="宋体"/>
                      <w:bCs/>
                      <w:i/>
                      <w:iCs/>
                      <w:color w:val="auto"/>
                      <w:sz w:val="18"/>
                      <w:szCs w:val="18"/>
                      <w:highlight w:val="none"/>
                      <w:u w:val="single"/>
                      <w:lang w:val="en-US" w:eastAsia="zh-CN"/>
                    </w:rPr>
                  </w:pPr>
                  <w:r>
                    <w:rPr>
                      <w:rFonts w:hint="eastAsia"/>
                      <w:bCs/>
                      <w:i/>
                      <w:iCs/>
                      <w:color w:val="auto"/>
                      <w:sz w:val="18"/>
                      <w:szCs w:val="18"/>
                      <w:highlight w:val="none"/>
                      <w:u w:val="single"/>
                      <w:lang w:val="en-US" w:eastAsia="zh-CN"/>
                    </w:rPr>
                    <w:t>12.7085</w:t>
                  </w:r>
                </w:p>
              </w:tc>
              <w:tc>
                <w:tcPr>
                  <w:tcW w:w="1033" w:type="dxa"/>
                  <w:vMerge w:val="restart"/>
                  <w:noWrap/>
                  <w:vAlign w:val="center"/>
                </w:tcPr>
                <w:p w14:paraId="573CC3AA">
                  <w:pPr>
                    <w:jc w:val="center"/>
                    <w:rPr>
                      <w:rFonts w:hint="default" w:eastAsia="宋体"/>
                      <w:bCs/>
                      <w:i/>
                      <w:iCs/>
                      <w:color w:val="auto"/>
                      <w:sz w:val="18"/>
                      <w:szCs w:val="18"/>
                      <w:highlight w:val="none"/>
                      <w:u w:val="single"/>
                      <w:lang w:val="en-US" w:eastAsia="zh-CN"/>
                    </w:rPr>
                  </w:pPr>
                  <w:r>
                    <w:rPr>
                      <w:rFonts w:hint="eastAsia"/>
                      <w:bCs/>
                      <w:i/>
                      <w:iCs/>
                      <w:color w:val="auto"/>
                      <w:sz w:val="18"/>
                      <w:szCs w:val="18"/>
                      <w:highlight w:val="none"/>
                      <w:u w:val="single"/>
                      <w:lang w:val="en-US" w:eastAsia="zh-CN"/>
                    </w:rPr>
                    <w:t>3.97</w:t>
                  </w:r>
                </w:p>
              </w:tc>
            </w:tr>
            <w:tr w14:paraId="52CAEA0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58" w:hRule="atLeast"/>
                <w:jc w:val="center"/>
              </w:trPr>
              <w:tc>
                <w:tcPr>
                  <w:tcW w:w="610" w:type="dxa"/>
                  <w:vMerge w:val="continue"/>
                  <w:noWrap/>
                  <w:vAlign w:val="center"/>
                </w:tcPr>
                <w:p w14:paraId="19F092B9">
                  <w:pPr>
                    <w:jc w:val="center"/>
                    <w:rPr>
                      <w:bCs/>
                      <w:i/>
                      <w:iCs/>
                      <w:color w:val="auto"/>
                      <w:sz w:val="18"/>
                      <w:szCs w:val="18"/>
                      <w:highlight w:val="none"/>
                      <w:u w:val="single"/>
                    </w:rPr>
                  </w:pPr>
                </w:p>
              </w:tc>
              <w:tc>
                <w:tcPr>
                  <w:tcW w:w="990" w:type="dxa"/>
                  <w:vMerge w:val="continue"/>
                  <w:tcBorders>
                    <w:right w:val="single" w:color="auto" w:sz="4" w:space="0"/>
                  </w:tcBorders>
                  <w:noWrap/>
                  <w:vAlign w:val="center"/>
                </w:tcPr>
                <w:p w14:paraId="7950270F">
                  <w:pPr>
                    <w:jc w:val="center"/>
                    <w:rPr>
                      <w:i/>
                      <w:iCs/>
                      <w:color w:val="auto"/>
                      <w:sz w:val="18"/>
                      <w:szCs w:val="18"/>
                      <w:highlight w:val="none"/>
                      <w:u w:val="single"/>
                    </w:rPr>
                  </w:pPr>
                </w:p>
              </w:tc>
              <w:tc>
                <w:tcPr>
                  <w:tcW w:w="760" w:type="dxa"/>
                  <w:vMerge w:val="continue"/>
                  <w:tcBorders>
                    <w:left w:val="single" w:color="auto" w:sz="4" w:space="0"/>
                  </w:tcBorders>
                  <w:noWrap/>
                  <w:vAlign w:val="center"/>
                </w:tcPr>
                <w:p w14:paraId="287857A8">
                  <w:pPr>
                    <w:jc w:val="center"/>
                    <w:rPr>
                      <w:bCs/>
                      <w:i/>
                      <w:iCs/>
                      <w:color w:val="auto"/>
                      <w:sz w:val="18"/>
                      <w:szCs w:val="18"/>
                      <w:highlight w:val="none"/>
                      <w:u w:val="single"/>
                    </w:rPr>
                  </w:pPr>
                </w:p>
              </w:tc>
              <w:tc>
                <w:tcPr>
                  <w:tcW w:w="660" w:type="dxa"/>
                  <w:vMerge w:val="continue"/>
                  <w:noWrap/>
                  <w:vAlign w:val="center"/>
                </w:tcPr>
                <w:p w14:paraId="3822AD01">
                  <w:pPr>
                    <w:jc w:val="center"/>
                    <w:rPr>
                      <w:bCs/>
                      <w:i/>
                      <w:iCs/>
                      <w:color w:val="auto"/>
                      <w:sz w:val="18"/>
                      <w:szCs w:val="18"/>
                      <w:highlight w:val="none"/>
                      <w:u w:val="single"/>
                    </w:rPr>
                  </w:pPr>
                </w:p>
              </w:tc>
              <w:tc>
                <w:tcPr>
                  <w:tcW w:w="730" w:type="dxa"/>
                  <w:vMerge w:val="continue"/>
                  <w:noWrap/>
                  <w:vAlign w:val="center"/>
                </w:tcPr>
                <w:p w14:paraId="445897C0">
                  <w:pPr>
                    <w:jc w:val="center"/>
                    <w:rPr>
                      <w:rFonts w:hint="eastAsia"/>
                      <w:i/>
                      <w:iCs/>
                      <w:color w:val="auto"/>
                      <w:spacing w:val="-2"/>
                      <w:sz w:val="18"/>
                      <w:szCs w:val="18"/>
                      <w:highlight w:val="none"/>
                      <w:u w:val="single"/>
                      <w:lang w:val="en-US" w:eastAsia="zh-CN"/>
                    </w:rPr>
                  </w:pPr>
                </w:p>
              </w:tc>
              <w:tc>
                <w:tcPr>
                  <w:tcW w:w="1293" w:type="dxa"/>
                  <w:tcBorders>
                    <w:top w:val="single" w:color="auto" w:sz="4" w:space="0"/>
                    <w:bottom w:val="single" w:color="auto" w:sz="4" w:space="0"/>
                  </w:tcBorders>
                  <w:noWrap/>
                  <w:vAlign w:val="center"/>
                </w:tcPr>
                <w:p w14:paraId="5EFF3069">
                  <w:pPr>
                    <w:jc w:val="center"/>
                    <w:rPr>
                      <w:i/>
                      <w:iCs/>
                      <w:color w:val="auto"/>
                      <w:spacing w:val="-2"/>
                      <w:sz w:val="18"/>
                      <w:szCs w:val="18"/>
                      <w:highlight w:val="none"/>
                      <w:u w:val="single"/>
                    </w:rPr>
                  </w:pPr>
                  <w:r>
                    <w:rPr>
                      <w:i/>
                      <w:iCs/>
                      <w:color w:val="auto"/>
                      <w:spacing w:val="-2"/>
                      <w:sz w:val="18"/>
                      <w:szCs w:val="18"/>
                      <w:highlight w:val="none"/>
                      <w:u w:val="single"/>
                    </w:rPr>
                    <w:t>洒水</w:t>
                  </w:r>
                  <w:r>
                    <w:rPr>
                      <w:rFonts w:hint="eastAsia"/>
                      <w:i/>
                      <w:iCs/>
                      <w:color w:val="auto"/>
                      <w:spacing w:val="-2"/>
                      <w:sz w:val="18"/>
                      <w:szCs w:val="18"/>
                      <w:highlight w:val="none"/>
                      <w:u w:val="single"/>
                    </w:rPr>
                    <w:t>降尘</w:t>
                  </w:r>
                </w:p>
              </w:tc>
              <w:tc>
                <w:tcPr>
                  <w:tcW w:w="747" w:type="dxa"/>
                  <w:tcBorders>
                    <w:top w:val="single" w:color="auto" w:sz="4" w:space="0"/>
                    <w:bottom w:val="single" w:color="auto" w:sz="4" w:space="0"/>
                  </w:tcBorders>
                  <w:noWrap/>
                  <w:vAlign w:val="center"/>
                </w:tcPr>
                <w:p w14:paraId="120F2174">
                  <w:pPr>
                    <w:jc w:val="center"/>
                    <w:rPr>
                      <w:rFonts w:hint="default" w:eastAsia="宋体"/>
                      <w:bCs/>
                      <w:i/>
                      <w:iCs/>
                      <w:color w:val="auto"/>
                      <w:sz w:val="18"/>
                      <w:szCs w:val="18"/>
                      <w:highlight w:val="none"/>
                      <w:u w:val="single"/>
                      <w:lang w:val="en-US" w:eastAsia="zh-CN"/>
                    </w:rPr>
                  </w:pPr>
                  <w:r>
                    <w:rPr>
                      <w:rFonts w:hint="eastAsia"/>
                      <w:bCs/>
                      <w:i/>
                      <w:iCs/>
                      <w:color w:val="auto"/>
                      <w:sz w:val="18"/>
                      <w:szCs w:val="18"/>
                      <w:highlight w:val="none"/>
                      <w:u w:val="single"/>
                      <w:lang w:val="en-US" w:eastAsia="zh-CN"/>
                    </w:rPr>
                    <w:t>60</w:t>
                  </w:r>
                </w:p>
              </w:tc>
              <w:tc>
                <w:tcPr>
                  <w:tcW w:w="950" w:type="dxa"/>
                  <w:vMerge w:val="continue"/>
                  <w:noWrap/>
                  <w:vAlign w:val="center"/>
                </w:tcPr>
                <w:p w14:paraId="0AE2FCC7">
                  <w:pPr>
                    <w:jc w:val="center"/>
                    <w:rPr>
                      <w:rFonts w:hint="eastAsia"/>
                      <w:bCs/>
                      <w:i/>
                      <w:iCs/>
                      <w:color w:val="auto"/>
                      <w:sz w:val="18"/>
                      <w:szCs w:val="18"/>
                      <w:highlight w:val="none"/>
                      <w:u w:val="single"/>
                    </w:rPr>
                  </w:pPr>
                </w:p>
              </w:tc>
              <w:tc>
                <w:tcPr>
                  <w:tcW w:w="1033" w:type="dxa"/>
                  <w:vMerge w:val="continue"/>
                  <w:noWrap/>
                  <w:vAlign w:val="center"/>
                </w:tcPr>
                <w:p w14:paraId="3C9EBF64">
                  <w:pPr>
                    <w:jc w:val="center"/>
                    <w:rPr>
                      <w:rFonts w:hint="eastAsia"/>
                      <w:bCs/>
                      <w:i/>
                      <w:iCs/>
                      <w:color w:val="auto"/>
                      <w:sz w:val="18"/>
                      <w:szCs w:val="18"/>
                      <w:highlight w:val="none"/>
                      <w:u w:val="single"/>
                    </w:rPr>
                  </w:pPr>
                </w:p>
              </w:tc>
            </w:tr>
            <w:tr w14:paraId="141DBD1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43" w:hRule="atLeast"/>
                <w:jc w:val="center"/>
              </w:trPr>
              <w:tc>
                <w:tcPr>
                  <w:tcW w:w="610" w:type="dxa"/>
                  <w:vMerge w:val="continue"/>
                  <w:noWrap/>
                  <w:vAlign w:val="center"/>
                </w:tcPr>
                <w:p w14:paraId="192662A1">
                  <w:pPr>
                    <w:jc w:val="center"/>
                    <w:rPr>
                      <w:bCs/>
                      <w:i/>
                      <w:iCs/>
                      <w:color w:val="auto"/>
                      <w:sz w:val="18"/>
                      <w:szCs w:val="18"/>
                      <w:highlight w:val="none"/>
                      <w:u w:val="single"/>
                    </w:rPr>
                  </w:pPr>
                </w:p>
              </w:tc>
              <w:tc>
                <w:tcPr>
                  <w:tcW w:w="990" w:type="dxa"/>
                  <w:vMerge w:val="continue"/>
                  <w:tcBorders>
                    <w:right w:val="single" w:color="auto" w:sz="4" w:space="0"/>
                  </w:tcBorders>
                  <w:noWrap/>
                  <w:vAlign w:val="center"/>
                </w:tcPr>
                <w:p w14:paraId="0B0B27A8">
                  <w:pPr>
                    <w:jc w:val="center"/>
                    <w:rPr>
                      <w:i/>
                      <w:iCs/>
                      <w:color w:val="auto"/>
                      <w:sz w:val="18"/>
                      <w:szCs w:val="18"/>
                      <w:highlight w:val="none"/>
                      <w:u w:val="single"/>
                    </w:rPr>
                  </w:pPr>
                </w:p>
              </w:tc>
              <w:tc>
                <w:tcPr>
                  <w:tcW w:w="760" w:type="dxa"/>
                  <w:vMerge w:val="continue"/>
                  <w:tcBorders>
                    <w:left w:val="single" w:color="auto" w:sz="4" w:space="0"/>
                    <w:bottom w:val="single" w:color="auto" w:sz="4" w:space="0"/>
                  </w:tcBorders>
                  <w:noWrap/>
                  <w:vAlign w:val="center"/>
                </w:tcPr>
                <w:p w14:paraId="4AED2E9B">
                  <w:pPr>
                    <w:jc w:val="center"/>
                    <w:rPr>
                      <w:bCs/>
                      <w:i/>
                      <w:iCs/>
                      <w:color w:val="auto"/>
                      <w:sz w:val="18"/>
                      <w:szCs w:val="18"/>
                      <w:highlight w:val="none"/>
                      <w:u w:val="single"/>
                    </w:rPr>
                  </w:pPr>
                </w:p>
              </w:tc>
              <w:tc>
                <w:tcPr>
                  <w:tcW w:w="660" w:type="dxa"/>
                  <w:vMerge w:val="continue"/>
                  <w:noWrap/>
                  <w:vAlign w:val="center"/>
                </w:tcPr>
                <w:p w14:paraId="421F0A41">
                  <w:pPr>
                    <w:jc w:val="center"/>
                    <w:rPr>
                      <w:bCs/>
                      <w:i/>
                      <w:iCs/>
                      <w:color w:val="auto"/>
                      <w:sz w:val="18"/>
                      <w:szCs w:val="18"/>
                      <w:highlight w:val="none"/>
                      <w:u w:val="single"/>
                    </w:rPr>
                  </w:pPr>
                </w:p>
              </w:tc>
              <w:tc>
                <w:tcPr>
                  <w:tcW w:w="730" w:type="dxa"/>
                  <w:vMerge w:val="continue"/>
                  <w:noWrap/>
                  <w:vAlign w:val="center"/>
                </w:tcPr>
                <w:p w14:paraId="5D3A3BC3">
                  <w:pPr>
                    <w:jc w:val="center"/>
                    <w:rPr>
                      <w:rFonts w:hint="eastAsia"/>
                      <w:i/>
                      <w:iCs/>
                      <w:color w:val="auto"/>
                      <w:spacing w:val="-2"/>
                      <w:sz w:val="18"/>
                      <w:szCs w:val="18"/>
                      <w:highlight w:val="none"/>
                      <w:u w:val="single"/>
                      <w:lang w:val="en-US" w:eastAsia="zh-CN"/>
                    </w:rPr>
                  </w:pPr>
                </w:p>
              </w:tc>
              <w:tc>
                <w:tcPr>
                  <w:tcW w:w="1293" w:type="dxa"/>
                  <w:tcBorders>
                    <w:top w:val="single" w:color="auto" w:sz="4" w:space="0"/>
                  </w:tcBorders>
                  <w:noWrap/>
                  <w:vAlign w:val="center"/>
                </w:tcPr>
                <w:p w14:paraId="21676A3B">
                  <w:pPr>
                    <w:jc w:val="center"/>
                    <w:rPr>
                      <w:i/>
                      <w:iCs/>
                      <w:color w:val="auto"/>
                      <w:spacing w:val="-2"/>
                      <w:sz w:val="18"/>
                      <w:szCs w:val="18"/>
                      <w:highlight w:val="none"/>
                      <w:u w:val="single"/>
                    </w:rPr>
                  </w:pPr>
                  <w:r>
                    <w:rPr>
                      <w:i/>
                      <w:iCs/>
                      <w:color w:val="auto"/>
                      <w:spacing w:val="-2"/>
                      <w:sz w:val="18"/>
                      <w:szCs w:val="18"/>
                      <w:highlight w:val="none"/>
                      <w:u w:val="single"/>
                    </w:rPr>
                    <w:t>苫布覆盖</w:t>
                  </w:r>
                </w:p>
              </w:tc>
              <w:tc>
                <w:tcPr>
                  <w:tcW w:w="747" w:type="dxa"/>
                  <w:tcBorders>
                    <w:top w:val="single" w:color="auto" w:sz="4" w:space="0"/>
                  </w:tcBorders>
                  <w:noWrap/>
                  <w:vAlign w:val="center"/>
                </w:tcPr>
                <w:p w14:paraId="3070A308">
                  <w:pPr>
                    <w:jc w:val="center"/>
                    <w:rPr>
                      <w:rFonts w:hint="default" w:eastAsia="宋体"/>
                      <w:bCs/>
                      <w:i/>
                      <w:iCs/>
                      <w:color w:val="auto"/>
                      <w:sz w:val="18"/>
                      <w:szCs w:val="18"/>
                      <w:highlight w:val="none"/>
                      <w:u w:val="single"/>
                      <w:lang w:val="en-US" w:eastAsia="zh-CN"/>
                    </w:rPr>
                  </w:pPr>
                  <w:r>
                    <w:rPr>
                      <w:rFonts w:hint="eastAsia"/>
                      <w:bCs/>
                      <w:i/>
                      <w:iCs/>
                      <w:color w:val="auto"/>
                      <w:sz w:val="18"/>
                      <w:szCs w:val="18"/>
                      <w:highlight w:val="none"/>
                      <w:u w:val="single"/>
                      <w:lang w:val="en-US" w:eastAsia="zh-CN"/>
                    </w:rPr>
                    <w:t>86</w:t>
                  </w:r>
                </w:p>
              </w:tc>
              <w:tc>
                <w:tcPr>
                  <w:tcW w:w="950" w:type="dxa"/>
                  <w:vMerge w:val="continue"/>
                  <w:noWrap/>
                  <w:vAlign w:val="center"/>
                </w:tcPr>
                <w:p w14:paraId="191E85F9">
                  <w:pPr>
                    <w:jc w:val="center"/>
                    <w:rPr>
                      <w:rFonts w:hint="eastAsia"/>
                      <w:bCs/>
                      <w:i/>
                      <w:iCs/>
                      <w:color w:val="auto"/>
                      <w:sz w:val="18"/>
                      <w:szCs w:val="18"/>
                      <w:highlight w:val="none"/>
                      <w:u w:val="single"/>
                    </w:rPr>
                  </w:pPr>
                </w:p>
              </w:tc>
              <w:tc>
                <w:tcPr>
                  <w:tcW w:w="1033" w:type="dxa"/>
                  <w:vMerge w:val="continue"/>
                  <w:noWrap/>
                  <w:vAlign w:val="center"/>
                </w:tcPr>
                <w:p w14:paraId="23D0BA86">
                  <w:pPr>
                    <w:jc w:val="center"/>
                    <w:rPr>
                      <w:rFonts w:hint="eastAsia"/>
                      <w:bCs/>
                      <w:i/>
                      <w:iCs/>
                      <w:color w:val="auto"/>
                      <w:sz w:val="18"/>
                      <w:szCs w:val="18"/>
                      <w:highlight w:val="none"/>
                      <w:u w:val="single"/>
                    </w:rPr>
                  </w:pPr>
                </w:p>
              </w:tc>
            </w:tr>
            <w:tr w14:paraId="2FBC7A0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610" w:type="dxa"/>
                  <w:noWrap/>
                  <w:vAlign w:val="center"/>
                </w:tcPr>
                <w:p w14:paraId="288FF880">
                  <w:pPr>
                    <w:jc w:val="center"/>
                    <w:rPr>
                      <w:rFonts w:hint="eastAsia" w:eastAsia="宋体"/>
                      <w:bCs/>
                      <w:i/>
                      <w:iCs/>
                      <w:color w:val="auto"/>
                      <w:kern w:val="2"/>
                      <w:sz w:val="18"/>
                      <w:szCs w:val="18"/>
                      <w:highlight w:val="none"/>
                      <w:u w:val="single"/>
                      <w:lang w:val="en-US" w:eastAsia="zh-CN"/>
                    </w:rPr>
                  </w:pPr>
                  <w:r>
                    <w:rPr>
                      <w:rFonts w:hint="eastAsia"/>
                      <w:bCs/>
                      <w:i/>
                      <w:iCs/>
                      <w:color w:val="auto"/>
                      <w:kern w:val="2"/>
                      <w:sz w:val="18"/>
                      <w:szCs w:val="18"/>
                      <w:highlight w:val="none"/>
                      <w:u w:val="single"/>
                      <w:lang w:val="en-US" w:eastAsia="zh-CN"/>
                    </w:rPr>
                    <w:t>2</w:t>
                  </w:r>
                </w:p>
              </w:tc>
              <w:tc>
                <w:tcPr>
                  <w:tcW w:w="990" w:type="dxa"/>
                  <w:tcBorders>
                    <w:right w:val="single" w:color="auto" w:sz="4" w:space="0"/>
                  </w:tcBorders>
                  <w:noWrap/>
                  <w:vAlign w:val="center"/>
                </w:tcPr>
                <w:p w14:paraId="09393528">
                  <w:pPr>
                    <w:jc w:val="center"/>
                    <w:rPr>
                      <w:bCs/>
                      <w:i/>
                      <w:iCs/>
                      <w:color w:val="auto"/>
                      <w:sz w:val="18"/>
                      <w:szCs w:val="18"/>
                      <w:highlight w:val="none"/>
                      <w:u w:val="single"/>
                    </w:rPr>
                  </w:pPr>
                  <w:r>
                    <w:rPr>
                      <w:i/>
                      <w:iCs/>
                      <w:color w:val="auto"/>
                      <w:sz w:val="18"/>
                      <w:szCs w:val="18"/>
                      <w:highlight w:val="none"/>
                      <w:u w:val="single"/>
                    </w:rPr>
                    <w:t>上料粉尘</w:t>
                  </w:r>
                </w:p>
              </w:tc>
              <w:tc>
                <w:tcPr>
                  <w:tcW w:w="760" w:type="dxa"/>
                  <w:vMerge w:val="restart"/>
                  <w:tcBorders>
                    <w:top w:val="single" w:color="auto" w:sz="4" w:space="0"/>
                    <w:left w:val="single" w:color="auto" w:sz="4" w:space="0"/>
                  </w:tcBorders>
                  <w:noWrap/>
                  <w:vAlign w:val="center"/>
                </w:tcPr>
                <w:p w14:paraId="57F9E40C">
                  <w:pPr>
                    <w:jc w:val="center"/>
                    <w:rPr>
                      <w:i/>
                      <w:iCs/>
                      <w:color w:val="auto"/>
                      <w:sz w:val="18"/>
                      <w:szCs w:val="18"/>
                      <w:highlight w:val="none"/>
                      <w:u w:val="single"/>
                    </w:rPr>
                  </w:pPr>
                </w:p>
              </w:tc>
              <w:tc>
                <w:tcPr>
                  <w:tcW w:w="660" w:type="dxa"/>
                  <w:noWrap/>
                  <w:vAlign w:val="center"/>
                </w:tcPr>
                <w:p w14:paraId="0FF78531">
                  <w:pPr>
                    <w:jc w:val="center"/>
                    <w:rPr>
                      <w:bCs/>
                      <w:i/>
                      <w:iCs/>
                      <w:color w:val="auto"/>
                      <w:kern w:val="2"/>
                      <w:sz w:val="18"/>
                      <w:szCs w:val="18"/>
                      <w:highlight w:val="none"/>
                      <w:u w:val="single"/>
                    </w:rPr>
                  </w:pPr>
                  <w:r>
                    <w:rPr>
                      <w:bCs/>
                      <w:i/>
                      <w:iCs/>
                      <w:color w:val="auto"/>
                      <w:sz w:val="18"/>
                      <w:szCs w:val="18"/>
                      <w:highlight w:val="none"/>
                      <w:u w:val="single"/>
                    </w:rPr>
                    <w:t>TSP</w:t>
                  </w:r>
                </w:p>
              </w:tc>
              <w:tc>
                <w:tcPr>
                  <w:tcW w:w="730" w:type="dxa"/>
                  <w:noWrap/>
                  <w:vAlign w:val="center"/>
                </w:tcPr>
                <w:p w14:paraId="713CB31B">
                  <w:pPr>
                    <w:jc w:val="center"/>
                    <w:rPr>
                      <w:i/>
                      <w:iCs/>
                      <w:color w:val="auto"/>
                      <w:spacing w:val="-4"/>
                      <w:position w:val="2"/>
                      <w:sz w:val="18"/>
                      <w:szCs w:val="18"/>
                      <w:highlight w:val="none"/>
                      <w:u w:val="single"/>
                    </w:rPr>
                  </w:pPr>
                  <w:r>
                    <w:rPr>
                      <w:rFonts w:hint="eastAsia"/>
                      <w:i/>
                      <w:iCs/>
                      <w:color w:val="auto"/>
                      <w:spacing w:val="-4"/>
                      <w:position w:val="2"/>
                      <w:sz w:val="18"/>
                      <w:szCs w:val="18"/>
                      <w:highlight w:val="none"/>
                      <w:u w:val="single"/>
                    </w:rPr>
                    <w:t>1.29</w:t>
                  </w:r>
                </w:p>
              </w:tc>
              <w:tc>
                <w:tcPr>
                  <w:tcW w:w="1293" w:type="dxa"/>
                  <w:noWrap/>
                  <w:vAlign w:val="center"/>
                </w:tcPr>
                <w:p w14:paraId="63E0121A">
                  <w:pPr>
                    <w:jc w:val="center"/>
                    <w:rPr>
                      <w:bCs/>
                      <w:i/>
                      <w:iCs/>
                      <w:color w:val="auto"/>
                      <w:kern w:val="2"/>
                      <w:sz w:val="18"/>
                      <w:szCs w:val="18"/>
                      <w:highlight w:val="none"/>
                      <w:u w:val="single"/>
                    </w:rPr>
                  </w:pPr>
                  <w:r>
                    <w:rPr>
                      <w:i/>
                      <w:iCs/>
                      <w:color w:val="auto"/>
                      <w:spacing w:val="-4"/>
                      <w:position w:val="2"/>
                      <w:sz w:val="18"/>
                      <w:szCs w:val="18"/>
                      <w:highlight w:val="none"/>
                      <w:u w:val="single"/>
                    </w:rPr>
                    <w:t>水雾喷淋</w:t>
                  </w:r>
                </w:p>
              </w:tc>
              <w:tc>
                <w:tcPr>
                  <w:tcW w:w="747" w:type="dxa"/>
                  <w:noWrap/>
                  <w:vAlign w:val="center"/>
                </w:tcPr>
                <w:p w14:paraId="3904723C">
                  <w:pPr>
                    <w:jc w:val="center"/>
                    <w:rPr>
                      <w:bCs/>
                      <w:i/>
                      <w:iCs/>
                      <w:color w:val="auto"/>
                      <w:kern w:val="2"/>
                      <w:sz w:val="18"/>
                      <w:szCs w:val="18"/>
                      <w:highlight w:val="none"/>
                      <w:u w:val="single"/>
                    </w:rPr>
                  </w:pPr>
                  <w:r>
                    <w:rPr>
                      <w:bCs/>
                      <w:i/>
                      <w:iCs/>
                      <w:color w:val="auto"/>
                      <w:sz w:val="18"/>
                      <w:szCs w:val="18"/>
                      <w:highlight w:val="none"/>
                      <w:u w:val="single"/>
                    </w:rPr>
                    <w:t>80</w:t>
                  </w:r>
                </w:p>
              </w:tc>
              <w:tc>
                <w:tcPr>
                  <w:tcW w:w="950" w:type="dxa"/>
                  <w:noWrap/>
                  <w:vAlign w:val="center"/>
                </w:tcPr>
                <w:p w14:paraId="63DF8892">
                  <w:pPr>
                    <w:jc w:val="center"/>
                    <w:rPr>
                      <w:bCs/>
                      <w:i/>
                      <w:iCs/>
                      <w:color w:val="auto"/>
                      <w:kern w:val="2"/>
                      <w:sz w:val="18"/>
                      <w:szCs w:val="18"/>
                      <w:highlight w:val="none"/>
                      <w:u w:val="single"/>
                    </w:rPr>
                  </w:pPr>
                  <w:r>
                    <w:rPr>
                      <w:rFonts w:hint="eastAsia"/>
                      <w:bCs/>
                      <w:i/>
                      <w:iCs/>
                      <w:color w:val="auto"/>
                      <w:kern w:val="2"/>
                      <w:sz w:val="18"/>
                      <w:szCs w:val="18"/>
                      <w:highlight w:val="none"/>
                      <w:u w:val="single"/>
                    </w:rPr>
                    <w:t>0.258</w:t>
                  </w:r>
                </w:p>
              </w:tc>
              <w:tc>
                <w:tcPr>
                  <w:tcW w:w="1033" w:type="dxa"/>
                  <w:noWrap/>
                  <w:vAlign w:val="center"/>
                </w:tcPr>
                <w:p w14:paraId="3477DC3B">
                  <w:pPr>
                    <w:jc w:val="center"/>
                    <w:rPr>
                      <w:bCs/>
                      <w:i/>
                      <w:iCs/>
                      <w:color w:val="auto"/>
                      <w:sz w:val="18"/>
                      <w:szCs w:val="18"/>
                      <w:highlight w:val="none"/>
                      <w:u w:val="single"/>
                    </w:rPr>
                  </w:pPr>
                  <w:r>
                    <w:rPr>
                      <w:rFonts w:hint="eastAsia"/>
                      <w:bCs/>
                      <w:i/>
                      <w:iCs/>
                      <w:color w:val="auto"/>
                      <w:sz w:val="18"/>
                      <w:szCs w:val="18"/>
                      <w:highlight w:val="none"/>
                      <w:u w:val="single"/>
                    </w:rPr>
                    <w:t>0.0806</w:t>
                  </w:r>
                </w:p>
              </w:tc>
            </w:tr>
            <w:tr w14:paraId="437CA59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610" w:type="dxa"/>
                  <w:noWrap/>
                  <w:vAlign w:val="center"/>
                </w:tcPr>
                <w:p w14:paraId="329270A5">
                  <w:pPr>
                    <w:jc w:val="center"/>
                    <w:rPr>
                      <w:rFonts w:hint="eastAsia" w:eastAsia="宋体"/>
                      <w:bCs/>
                      <w:i/>
                      <w:iCs/>
                      <w:color w:val="auto"/>
                      <w:kern w:val="2"/>
                      <w:sz w:val="18"/>
                      <w:szCs w:val="18"/>
                      <w:highlight w:val="none"/>
                      <w:u w:val="single"/>
                      <w:lang w:val="en-US" w:eastAsia="zh-CN"/>
                    </w:rPr>
                  </w:pPr>
                  <w:r>
                    <w:rPr>
                      <w:rFonts w:hint="eastAsia"/>
                      <w:bCs/>
                      <w:i/>
                      <w:iCs/>
                      <w:color w:val="auto"/>
                      <w:kern w:val="2"/>
                      <w:sz w:val="18"/>
                      <w:szCs w:val="18"/>
                      <w:highlight w:val="none"/>
                      <w:u w:val="single"/>
                      <w:lang w:val="en-US" w:eastAsia="zh-CN"/>
                    </w:rPr>
                    <w:t>3</w:t>
                  </w:r>
                </w:p>
              </w:tc>
              <w:tc>
                <w:tcPr>
                  <w:tcW w:w="990" w:type="dxa"/>
                  <w:tcBorders>
                    <w:right w:val="single" w:color="auto" w:sz="4" w:space="0"/>
                  </w:tcBorders>
                  <w:noWrap/>
                  <w:vAlign w:val="center"/>
                </w:tcPr>
                <w:p w14:paraId="666FA03B">
                  <w:pPr>
                    <w:jc w:val="center"/>
                    <w:rPr>
                      <w:bCs/>
                      <w:i/>
                      <w:iCs/>
                      <w:color w:val="auto"/>
                      <w:sz w:val="18"/>
                      <w:szCs w:val="18"/>
                      <w:highlight w:val="none"/>
                      <w:u w:val="single"/>
                    </w:rPr>
                  </w:pPr>
                  <w:r>
                    <w:rPr>
                      <w:i/>
                      <w:iCs/>
                      <w:color w:val="auto"/>
                      <w:sz w:val="18"/>
                      <w:szCs w:val="18"/>
                      <w:highlight w:val="none"/>
                      <w:u w:val="single"/>
                    </w:rPr>
                    <w:t>运输扬尘</w:t>
                  </w:r>
                </w:p>
              </w:tc>
              <w:tc>
                <w:tcPr>
                  <w:tcW w:w="760" w:type="dxa"/>
                  <w:vMerge w:val="continue"/>
                  <w:tcBorders>
                    <w:top w:val="single" w:color="auto" w:sz="4" w:space="0"/>
                    <w:left w:val="single" w:color="auto" w:sz="4" w:space="0"/>
                    <w:bottom w:val="single" w:color="auto" w:sz="4" w:space="0"/>
                  </w:tcBorders>
                  <w:noWrap/>
                  <w:vAlign w:val="center"/>
                </w:tcPr>
                <w:p w14:paraId="3535CDAB">
                  <w:pPr>
                    <w:jc w:val="center"/>
                    <w:rPr>
                      <w:i/>
                      <w:iCs/>
                      <w:color w:val="auto"/>
                      <w:sz w:val="18"/>
                      <w:szCs w:val="18"/>
                      <w:highlight w:val="none"/>
                      <w:u w:val="single"/>
                    </w:rPr>
                  </w:pPr>
                </w:p>
              </w:tc>
              <w:tc>
                <w:tcPr>
                  <w:tcW w:w="660" w:type="dxa"/>
                  <w:noWrap/>
                  <w:vAlign w:val="center"/>
                </w:tcPr>
                <w:p w14:paraId="0D5C935D">
                  <w:pPr>
                    <w:jc w:val="center"/>
                    <w:rPr>
                      <w:bCs/>
                      <w:i/>
                      <w:iCs/>
                      <w:color w:val="auto"/>
                      <w:kern w:val="2"/>
                      <w:sz w:val="18"/>
                      <w:szCs w:val="18"/>
                      <w:highlight w:val="none"/>
                      <w:u w:val="single"/>
                    </w:rPr>
                  </w:pPr>
                  <w:r>
                    <w:rPr>
                      <w:bCs/>
                      <w:i/>
                      <w:iCs/>
                      <w:color w:val="auto"/>
                      <w:sz w:val="18"/>
                      <w:szCs w:val="18"/>
                      <w:highlight w:val="none"/>
                      <w:u w:val="single"/>
                    </w:rPr>
                    <w:t>TSP</w:t>
                  </w:r>
                </w:p>
              </w:tc>
              <w:tc>
                <w:tcPr>
                  <w:tcW w:w="730" w:type="dxa"/>
                  <w:noWrap/>
                  <w:vAlign w:val="center"/>
                </w:tcPr>
                <w:p w14:paraId="2642E5F0">
                  <w:pPr>
                    <w:jc w:val="center"/>
                    <w:rPr>
                      <w:i/>
                      <w:iCs/>
                      <w:color w:val="auto"/>
                      <w:spacing w:val="-4"/>
                      <w:sz w:val="18"/>
                      <w:szCs w:val="18"/>
                      <w:highlight w:val="none"/>
                      <w:u w:val="single"/>
                    </w:rPr>
                  </w:pPr>
                  <w:r>
                    <w:rPr>
                      <w:rFonts w:hint="eastAsia"/>
                      <w:i/>
                      <w:iCs/>
                      <w:color w:val="auto"/>
                      <w:spacing w:val="-4"/>
                      <w:sz w:val="18"/>
                      <w:szCs w:val="18"/>
                      <w:highlight w:val="none"/>
                      <w:u w:val="single"/>
                    </w:rPr>
                    <w:t>0.183</w:t>
                  </w:r>
                </w:p>
              </w:tc>
              <w:tc>
                <w:tcPr>
                  <w:tcW w:w="1293" w:type="dxa"/>
                  <w:noWrap/>
                  <w:vAlign w:val="center"/>
                </w:tcPr>
                <w:p w14:paraId="2A5BBC4E">
                  <w:pPr>
                    <w:jc w:val="center"/>
                    <w:rPr>
                      <w:bCs/>
                      <w:i/>
                      <w:iCs/>
                      <w:color w:val="auto"/>
                      <w:kern w:val="2"/>
                      <w:sz w:val="18"/>
                      <w:szCs w:val="18"/>
                      <w:highlight w:val="none"/>
                      <w:u w:val="single"/>
                    </w:rPr>
                  </w:pPr>
                  <w:r>
                    <w:rPr>
                      <w:i/>
                      <w:iCs/>
                      <w:color w:val="auto"/>
                      <w:spacing w:val="-4"/>
                      <w:sz w:val="18"/>
                      <w:szCs w:val="18"/>
                      <w:highlight w:val="none"/>
                      <w:u w:val="single"/>
                    </w:rPr>
                    <w:t>及时清扫、</w:t>
                  </w:r>
                  <w:r>
                    <w:rPr>
                      <w:rFonts w:hint="eastAsia"/>
                      <w:i/>
                      <w:iCs/>
                      <w:color w:val="auto"/>
                      <w:spacing w:val="-4"/>
                      <w:sz w:val="18"/>
                      <w:szCs w:val="18"/>
                      <w:highlight w:val="none"/>
                      <w:u w:val="single"/>
                    </w:rPr>
                    <w:t>洒水降尘</w:t>
                  </w:r>
                </w:p>
              </w:tc>
              <w:tc>
                <w:tcPr>
                  <w:tcW w:w="747" w:type="dxa"/>
                  <w:noWrap/>
                  <w:vAlign w:val="center"/>
                </w:tcPr>
                <w:p w14:paraId="0076EFCE">
                  <w:pPr>
                    <w:jc w:val="center"/>
                    <w:rPr>
                      <w:bCs/>
                      <w:i/>
                      <w:iCs/>
                      <w:color w:val="auto"/>
                      <w:kern w:val="2"/>
                      <w:sz w:val="18"/>
                      <w:szCs w:val="18"/>
                      <w:highlight w:val="none"/>
                      <w:u w:val="single"/>
                    </w:rPr>
                  </w:pPr>
                  <w:r>
                    <w:rPr>
                      <w:bCs/>
                      <w:i/>
                      <w:iCs/>
                      <w:color w:val="auto"/>
                      <w:sz w:val="18"/>
                      <w:szCs w:val="18"/>
                      <w:highlight w:val="none"/>
                      <w:u w:val="single"/>
                    </w:rPr>
                    <w:t>80</w:t>
                  </w:r>
                </w:p>
              </w:tc>
              <w:tc>
                <w:tcPr>
                  <w:tcW w:w="950" w:type="dxa"/>
                  <w:noWrap/>
                  <w:vAlign w:val="center"/>
                </w:tcPr>
                <w:p w14:paraId="2600710E">
                  <w:pPr>
                    <w:jc w:val="center"/>
                    <w:rPr>
                      <w:bCs/>
                      <w:i/>
                      <w:iCs/>
                      <w:color w:val="auto"/>
                      <w:kern w:val="2"/>
                      <w:sz w:val="18"/>
                      <w:szCs w:val="18"/>
                      <w:highlight w:val="none"/>
                      <w:u w:val="single"/>
                    </w:rPr>
                  </w:pPr>
                  <w:r>
                    <w:rPr>
                      <w:rFonts w:hint="eastAsia"/>
                      <w:bCs/>
                      <w:i/>
                      <w:iCs/>
                      <w:color w:val="auto"/>
                      <w:kern w:val="2"/>
                      <w:sz w:val="18"/>
                      <w:szCs w:val="18"/>
                      <w:highlight w:val="none"/>
                      <w:u w:val="single"/>
                    </w:rPr>
                    <w:t>0.037</w:t>
                  </w:r>
                </w:p>
              </w:tc>
              <w:tc>
                <w:tcPr>
                  <w:tcW w:w="1033" w:type="dxa"/>
                  <w:noWrap/>
                  <w:vAlign w:val="center"/>
                </w:tcPr>
                <w:p w14:paraId="319E9ED4">
                  <w:pPr>
                    <w:jc w:val="center"/>
                    <w:rPr>
                      <w:bCs/>
                      <w:i/>
                      <w:iCs/>
                      <w:color w:val="auto"/>
                      <w:sz w:val="18"/>
                      <w:szCs w:val="18"/>
                      <w:highlight w:val="none"/>
                      <w:u w:val="single"/>
                    </w:rPr>
                  </w:pPr>
                  <w:r>
                    <w:rPr>
                      <w:rFonts w:hint="eastAsia"/>
                      <w:bCs/>
                      <w:i/>
                      <w:iCs/>
                      <w:color w:val="auto"/>
                      <w:sz w:val="18"/>
                      <w:szCs w:val="18"/>
                      <w:highlight w:val="none"/>
                      <w:u w:val="single"/>
                    </w:rPr>
                    <w:t>0.023</w:t>
                  </w:r>
                </w:p>
              </w:tc>
            </w:tr>
            <w:tr w14:paraId="412CB3D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610" w:type="dxa"/>
                  <w:noWrap/>
                  <w:vAlign w:val="center"/>
                </w:tcPr>
                <w:p w14:paraId="31D6639C">
                  <w:pPr>
                    <w:jc w:val="center"/>
                    <w:rPr>
                      <w:rFonts w:hint="eastAsia" w:eastAsia="宋体"/>
                      <w:bCs/>
                      <w:i/>
                      <w:iCs/>
                      <w:color w:val="auto"/>
                      <w:kern w:val="2"/>
                      <w:sz w:val="18"/>
                      <w:szCs w:val="18"/>
                      <w:highlight w:val="none"/>
                      <w:u w:val="single"/>
                      <w:lang w:val="en-US" w:eastAsia="zh-CN"/>
                    </w:rPr>
                  </w:pPr>
                  <w:r>
                    <w:rPr>
                      <w:rFonts w:hint="eastAsia"/>
                      <w:bCs/>
                      <w:i/>
                      <w:iCs/>
                      <w:color w:val="auto"/>
                      <w:kern w:val="2"/>
                      <w:sz w:val="18"/>
                      <w:szCs w:val="18"/>
                      <w:highlight w:val="none"/>
                      <w:u w:val="single"/>
                      <w:lang w:val="en-US" w:eastAsia="zh-CN"/>
                    </w:rPr>
                    <w:t>4</w:t>
                  </w:r>
                </w:p>
              </w:tc>
              <w:tc>
                <w:tcPr>
                  <w:tcW w:w="990" w:type="dxa"/>
                  <w:tcBorders>
                    <w:right w:val="single" w:color="auto" w:sz="4" w:space="0"/>
                  </w:tcBorders>
                  <w:noWrap/>
                  <w:vAlign w:val="center"/>
                </w:tcPr>
                <w:p w14:paraId="7544D61D">
                  <w:pPr>
                    <w:jc w:val="center"/>
                    <w:rPr>
                      <w:bCs/>
                      <w:i/>
                      <w:iCs/>
                      <w:color w:val="auto"/>
                      <w:sz w:val="18"/>
                      <w:szCs w:val="18"/>
                      <w:highlight w:val="none"/>
                      <w:u w:val="single"/>
                    </w:rPr>
                  </w:pPr>
                  <w:r>
                    <w:rPr>
                      <w:i/>
                      <w:iCs/>
                      <w:color w:val="auto"/>
                      <w:sz w:val="18"/>
                      <w:szCs w:val="18"/>
                      <w:highlight w:val="none"/>
                      <w:u w:val="single"/>
                    </w:rPr>
                    <w:t>输送粉尘</w:t>
                  </w:r>
                </w:p>
              </w:tc>
              <w:tc>
                <w:tcPr>
                  <w:tcW w:w="760" w:type="dxa"/>
                  <w:vMerge w:val="continue"/>
                  <w:tcBorders>
                    <w:top w:val="single" w:color="auto" w:sz="4" w:space="0"/>
                    <w:left w:val="single" w:color="auto" w:sz="4" w:space="0"/>
                    <w:bottom w:val="single" w:color="auto" w:sz="4" w:space="0"/>
                  </w:tcBorders>
                  <w:noWrap/>
                  <w:vAlign w:val="center"/>
                </w:tcPr>
                <w:p w14:paraId="43D48ADD">
                  <w:pPr>
                    <w:jc w:val="center"/>
                    <w:rPr>
                      <w:i/>
                      <w:iCs/>
                      <w:color w:val="auto"/>
                      <w:sz w:val="18"/>
                      <w:szCs w:val="18"/>
                      <w:highlight w:val="none"/>
                      <w:u w:val="single"/>
                    </w:rPr>
                  </w:pPr>
                </w:p>
              </w:tc>
              <w:tc>
                <w:tcPr>
                  <w:tcW w:w="660" w:type="dxa"/>
                  <w:noWrap/>
                  <w:vAlign w:val="center"/>
                </w:tcPr>
                <w:p w14:paraId="7AB6F0AB">
                  <w:pPr>
                    <w:jc w:val="center"/>
                    <w:rPr>
                      <w:bCs/>
                      <w:i/>
                      <w:iCs/>
                      <w:color w:val="auto"/>
                      <w:kern w:val="2"/>
                      <w:sz w:val="18"/>
                      <w:szCs w:val="18"/>
                      <w:highlight w:val="none"/>
                      <w:u w:val="single"/>
                    </w:rPr>
                  </w:pPr>
                  <w:r>
                    <w:rPr>
                      <w:bCs/>
                      <w:i/>
                      <w:iCs/>
                      <w:color w:val="auto"/>
                      <w:sz w:val="18"/>
                      <w:szCs w:val="18"/>
                      <w:highlight w:val="none"/>
                      <w:u w:val="single"/>
                    </w:rPr>
                    <w:t>TSP</w:t>
                  </w:r>
                </w:p>
              </w:tc>
              <w:tc>
                <w:tcPr>
                  <w:tcW w:w="730" w:type="dxa"/>
                  <w:noWrap/>
                  <w:vAlign w:val="center"/>
                </w:tcPr>
                <w:p w14:paraId="6A2A81BC">
                  <w:pPr>
                    <w:jc w:val="center"/>
                    <w:rPr>
                      <w:i/>
                      <w:iCs/>
                      <w:color w:val="auto"/>
                      <w:spacing w:val="-4"/>
                      <w:position w:val="2"/>
                      <w:sz w:val="18"/>
                      <w:szCs w:val="18"/>
                      <w:highlight w:val="none"/>
                      <w:u w:val="single"/>
                    </w:rPr>
                  </w:pPr>
                  <w:r>
                    <w:rPr>
                      <w:rFonts w:hint="eastAsia"/>
                      <w:i/>
                      <w:iCs/>
                      <w:color w:val="auto"/>
                      <w:spacing w:val="-4"/>
                      <w:position w:val="2"/>
                      <w:sz w:val="18"/>
                      <w:szCs w:val="18"/>
                      <w:highlight w:val="none"/>
                      <w:u w:val="single"/>
                    </w:rPr>
                    <w:t>0.064</w:t>
                  </w:r>
                </w:p>
              </w:tc>
              <w:tc>
                <w:tcPr>
                  <w:tcW w:w="1293" w:type="dxa"/>
                  <w:noWrap/>
                  <w:vAlign w:val="center"/>
                </w:tcPr>
                <w:p w14:paraId="362DA71C">
                  <w:pPr>
                    <w:jc w:val="center"/>
                    <w:rPr>
                      <w:bCs/>
                      <w:i/>
                      <w:iCs/>
                      <w:color w:val="auto"/>
                      <w:kern w:val="2"/>
                      <w:sz w:val="18"/>
                      <w:szCs w:val="18"/>
                      <w:highlight w:val="none"/>
                      <w:u w:val="single"/>
                    </w:rPr>
                  </w:pPr>
                  <w:r>
                    <w:rPr>
                      <w:rFonts w:hint="eastAsia"/>
                      <w:i/>
                      <w:iCs/>
                      <w:color w:val="auto"/>
                      <w:spacing w:val="-4"/>
                      <w:position w:val="2"/>
                      <w:sz w:val="18"/>
                      <w:szCs w:val="18"/>
                      <w:highlight w:val="none"/>
                      <w:u w:val="single"/>
                    </w:rPr>
                    <w:t>密闭输送、</w:t>
                  </w:r>
                  <w:r>
                    <w:rPr>
                      <w:i/>
                      <w:iCs/>
                      <w:color w:val="auto"/>
                      <w:spacing w:val="-4"/>
                      <w:position w:val="2"/>
                      <w:sz w:val="18"/>
                      <w:szCs w:val="18"/>
                      <w:highlight w:val="none"/>
                      <w:u w:val="single"/>
                    </w:rPr>
                    <w:t>水雾喷淋</w:t>
                  </w:r>
                </w:p>
              </w:tc>
              <w:tc>
                <w:tcPr>
                  <w:tcW w:w="747" w:type="dxa"/>
                  <w:noWrap/>
                  <w:vAlign w:val="center"/>
                </w:tcPr>
                <w:p w14:paraId="25DB47F7">
                  <w:pPr>
                    <w:jc w:val="center"/>
                    <w:rPr>
                      <w:bCs/>
                      <w:i/>
                      <w:iCs/>
                      <w:color w:val="auto"/>
                      <w:kern w:val="2"/>
                      <w:sz w:val="18"/>
                      <w:szCs w:val="18"/>
                      <w:highlight w:val="none"/>
                      <w:u w:val="single"/>
                    </w:rPr>
                  </w:pPr>
                  <w:r>
                    <w:rPr>
                      <w:bCs/>
                      <w:i/>
                      <w:iCs/>
                      <w:color w:val="auto"/>
                      <w:sz w:val="18"/>
                      <w:szCs w:val="18"/>
                      <w:highlight w:val="none"/>
                      <w:u w:val="single"/>
                    </w:rPr>
                    <w:t>80</w:t>
                  </w:r>
                </w:p>
              </w:tc>
              <w:tc>
                <w:tcPr>
                  <w:tcW w:w="950" w:type="dxa"/>
                  <w:noWrap/>
                  <w:vAlign w:val="center"/>
                </w:tcPr>
                <w:p w14:paraId="5A5D8EEC">
                  <w:pPr>
                    <w:jc w:val="center"/>
                    <w:rPr>
                      <w:bCs/>
                      <w:i/>
                      <w:iCs/>
                      <w:color w:val="auto"/>
                      <w:kern w:val="2"/>
                      <w:sz w:val="18"/>
                      <w:szCs w:val="18"/>
                      <w:highlight w:val="none"/>
                      <w:u w:val="single"/>
                    </w:rPr>
                  </w:pPr>
                  <w:r>
                    <w:rPr>
                      <w:rFonts w:hint="eastAsia"/>
                      <w:bCs/>
                      <w:i/>
                      <w:iCs/>
                      <w:color w:val="auto"/>
                      <w:kern w:val="2"/>
                      <w:sz w:val="18"/>
                      <w:szCs w:val="18"/>
                      <w:highlight w:val="none"/>
                      <w:u w:val="single"/>
                    </w:rPr>
                    <w:t>0.0128</w:t>
                  </w:r>
                </w:p>
              </w:tc>
              <w:tc>
                <w:tcPr>
                  <w:tcW w:w="1033" w:type="dxa"/>
                  <w:noWrap/>
                  <w:vAlign w:val="center"/>
                </w:tcPr>
                <w:p w14:paraId="3A75A18C">
                  <w:pPr>
                    <w:jc w:val="center"/>
                    <w:rPr>
                      <w:bCs/>
                      <w:i/>
                      <w:iCs/>
                      <w:color w:val="auto"/>
                      <w:sz w:val="18"/>
                      <w:szCs w:val="18"/>
                      <w:highlight w:val="none"/>
                      <w:u w:val="single"/>
                    </w:rPr>
                  </w:pPr>
                  <w:r>
                    <w:rPr>
                      <w:rFonts w:hint="eastAsia"/>
                      <w:bCs/>
                      <w:i/>
                      <w:iCs/>
                      <w:color w:val="auto"/>
                      <w:sz w:val="18"/>
                      <w:szCs w:val="18"/>
                      <w:highlight w:val="none"/>
                      <w:u w:val="single"/>
                    </w:rPr>
                    <w:t>0.004</w:t>
                  </w:r>
                </w:p>
              </w:tc>
            </w:tr>
            <w:tr w14:paraId="79D47FC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89" w:hRule="atLeast"/>
                <w:jc w:val="center"/>
              </w:trPr>
              <w:tc>
                <w:tcPr>
                  <w:tcW w:w="610" w:type="dxa"/>
                  <w:vMerge w:val="restart"/>
                  <w:noWrap/>
                  <w:vAlign w:val="center"/>
                </w:tcPr>
                <w:p w14:paraId="422EFD97">
                  <w:pPr>
                    <w:jc w:val="center"/>
                    <w:rPr>
                      <w:rFonts w:hint="eastAsia" w:eastAsia="宋体"/>
                      <w:bCs/>
                      <w:i/>
                      <w:iCs/>
                      <w:color w:val="auto"/>
                      <w:kern w:val="2"/>
                      <w:sz w:val="18"/>
                      <w:szCs w:val="18"/>
                      <w:highlight w:val="none"/>
                      <w:u w:val="single"/>
                      <w:lang w:val="en-US" w:eastAsia="zh-CN"/>
                    </w:rPr>
                  </w:pPr>
                  <w:r>
                    <w:rPr>
                      <w:rFonts w:hint="eastAsia"/>
                      <w:bCs/>
                      <w:i/>
                      <w:iCs/>
                      <w:color w:val="auto"/>
                      <w:kern w:val="2"/>
                      <w:sz w:val="18"/>
                      <w:szCs w:val="18"/>
                      <w:highlight w:val="none"/>
                      <w:u w:val="single"/>
                      <w:lang w:val="en-US" w:eastAsia="zh-CN"/>
                    </w:rPr>
                    <w:t>5</w:t>
                  </w:r>
                </w:p>
              </w:tc>
              <w:tc>
                <w:tcPr>
                  <w:tcW w:w="990" w:type="dxa"/>
                  <w:vMerge w:val="restart"/>
                  <w:tcBorders>
                    <w:right w:val="single" w:color="auto" w:sz="4" w:space="0"/>
                  </w:tcBorders>
                  <w:noWrap/>
                  <w:vAlign w:val="center"/>
                </w:tcPr>
                <w:p w14:paraId="0A193521">
                  <w:pPr>
                    <w:jc w:val="center"/>
                    <w:rPr>
                      <w:bCs/>
                      <w:i/>
                      <w:iCs/>
                      <w:color w:val="auto"/>
                      <w:sz w:val="18"/>
                      <w:szCs w:val="18"/>
                      <w:highlight w:val="none"/>
                      <w:u w:val="single"/>
                    </w:rPr>
                  </w:pPr>
                  <w:r>
                    <w:rPr>
                      <w:i/>
                      <w:iCs/>
                      <w:color w:val="auto"/>
                      <w:sz w:val="18"/>
                      <w:szCs w:val="18"/>
                      <w:highlight w:val="none"/>
                      <w:u w:val="single"/>
                    </w:rPr>
                    <w:t>破碎粉尘</w:t>
                  </w:r>
                </w:p>
              </w:tc>
              <w:tc>
                <w:tcPr>
                  <w:tcW w:w="760" w:type="dxa"/>
                  <w:tcBorders>
                    <w:top w:val="single" w:color="auto" w:sz="4" w:space="0"/>
                    <w:left w:val="single" w:color="auto" w:sz="4" w:space="0"/>
                    <w:bottom w:val="single" w:color="auto" w:sz="4" w:space="0"/>
                  </w:tcBorders>
                  <w:noWrap/>
                  <w:vAlign w:val="center"/>
                </w:tcPr>
                <w:p w14:paraId="1EA857A6">
                  <w:pPr>
                    <w:jc w:val="center"/>
                    <w:rPr>
                      <w:i/>
                      <w:iCs/>
                      <w:color w:val="auto"/>
                      <w:sz w:val="18"/>
                      <w:szCs w:val="18"/>
                      <w:highlight w:val="none"/>
                      <w:u w:val="single"/>
                    </w:rPr>
                  </w:pPr>
                  <w:r>
                    <w:rPr>
                      <w:rFonts w:hint="eastAsia"/>
                      <w:bCs/>
                      <w:i/>
                      <w:iCs/>
                      <w:color w:val="auto"/>
                      <w:sz w:val="18"/>
                      <w:szCs w:val="18"/>
                      <w:highlight w:val="none"/>
                      <w:u w:val="single"/>
                    </w:rPr>
                    <w:t>有组织</w:t>
                  </w:r>
                </w:p>
              </w:tc>
              <w:tc>
                <w:tcPr>
                  <w:tcW w:w="660" w:type="dxa"/>
                  <w:vMerge w:val="restart"/>
                  <w:noWrap/>
                  <w:vAlign w:val="center"/>
                </w:tcPr>
                <w:p w14:paraId="6D5C941D">
                  <w:pPr>
                    <w:jc w:val="center"/>
                    <w:rPr>
                      <w:bCs/>
                      <w:i/>
                      <w:iCs/>
                      <w:color w:val="auto"/>
                      <w:kern w:val="2"/>
                      <w:sz w:val="18"/>
                      <w:szCs w:val="18"/>
                      <w:highlight w:val="none"/>
                      <w:u w:val="single"/>
                    </w:rPr>
                  </w:pPr>
                  <w:r>
                    <w:rPr>
                      <w:bCs/>
                      <w:i/>
                      <w:iCs/>
                      <w:color w:val="auto"/>
                      <w:sz w:val="18"/>
                      <w:szCs w:val="18"/>
                      <w:highlight w:val="none"/>
                      <w:u w:val="single"/>
                    </w:rPr>
                    <w:t>TSP</w:t>
                  </w:r>
                </w:p>
              </w:tc>
              <w:tc>
                <w:tcPr>
                  <w:tcW w:w="730" w:type="dxa"/>
                  <w:tcBorders>
                    <w:bottom w:val="single" w:color="auto" w:sz="4" w:space="0"/>
                  </w:tcBorders>
                  <w:noWrap/>
                  <w:vAlign w:val="center"/>
                </w:tcPr>
                <w:p w14:paraId="3BB02565">
                  <w:pPr>
                    <w:jc w:val="center"/>
                    <w:rPr>
                      <w:i/>
                      <w:iCs/>
                      <w:color w:val="auto"/>
                      <w:spacing w:val="-4"/>
                      <w:position w:val="2"/>
                      <w:sz w:val="18"/>
                      <w:szCs w:val="18"/>
                      <w:highlight w:val="none"/>
                      <w:u w:val="single"/>
                    </w:rPr>
                  </w:pPr>
                  <w:r>
                    <w:rPr>
                      <w:rFonts w:hint="eastAsia"/>
                      <w:i/>
                      <w:iCs/>
                      <w:color w:val="auto"/>
                      <w:spacing w:val="-4"/>
                      <w:position w:val="2"/>
                      <w:sz w:val="18"/>
                      <w:szCs w:val="18"/>
                      <w:highlight w:val="none"/>
                      <w:u w:val="single"/>
                    </w:rPr>
                    <w:t>68.704</w:t>
                  </w:r>
                </w:p>
              </w:tc>
              <w:tc>
                <w:tcPr>
                  <w:tcW w:w="1293" w:type="dxa"/>
                  <w:tcBorders>
                    <w:bottom w:val="single" w:color="auto" w:sz="4" w:space="0"/>
                  </w:tcBorders>
                  <w:noWrap/>
                  <w:vAlign w:val="center"/>
                </w:tcPr>
                <w:p w14:paraId="7CAF2AA9">
                  <w:pPr>
                    <w:jc w:val="center"/>
                    <w:rPr>
                      <w:bCs/>
                      <w:i/>
                      <w:iCs/>
                      <w:color w:val="auto"/>
                      <w:kern w:val="2"/>
                      <w:sz w:val="18"/>
                      <w:szCs w:val="18"/>
                      <w:highlight w:val="none"/>
                      <w:u w:val="single"/>
                    </w:rPr>
                  </w:pPr>
                  <w:r>
                    <w:rPr>
                      <w:rFonts w:hint="eastAsia"/>
                      <w:i/>
                      <w:iCs/>
                      <w:color w:val="auto"/>
                      <w:spacing w:val="-4"/>
                      <w:position w:val="2"/>
                      <w:sz w:val="18"/>
                      <w:szCs w:val="18"/>
                      <w:highlight w:val="none"/>
                      <w:u w:val="single"/>
                    </w:rPr>
                    <w:t>密闭设备、布袋除尘+15m高排气筒</w:t>
                  </w:r>
                </w:p>
              </w:tc>
              <w:tc>
                <w:tcPr>
                  <w:tcW w:w="747" w:type="dxa"/>
                  <w:tcBorders>
                    <w:bottom w:val="single" w:color="auto" w:sz="4" w:space="0"/>
                  </w:tcBorders>
                  <w:noWrap/>
                  <w:vAlign w:val="center"/>
                </w:tcPr>
                <w:p w14:paraId="75D9677D">
                  <w:pPr>
                    <w:jc w:val="center"/>
                    <w:rPr>
                      <w:bCs/>
                      <w:i/>
                      <w:iCs/>
                      <w:color w:val="auto"/>
                      <w:kern w:val="2"/>
                      <w:sz w:val="18"/>
                      <w:szCs w:val="18"/>
                      <w:highlight w:val="none"/>
                      <w:u w:val="single"/>
                    </w:rPr>
                  </w:pPr>
                  <w:r>
                    <w:rPr>
                      <w:rFonts w:hint="eastAsia"/>
                      <w:bCs/>
                      <w:i/>
                      <w:iCs/>
                      <w:color w:val="auto"/>
                      <w:sz w:val="18"/>
                      <w:szCs w:val="18"/>
                      <w:highlight w:val="none"/>
                      <w:u w:val="single"/>
                    </w:rPr>
                    <w:t>99</w:t>
                  </w:r>
                </w:p>
              </w:tc>
              <w:tc>
                <w:tcPr>
                  <w:tcW w:w="950" w:type="dxa"/>
                  <w:tcBorders>
                    <w:bottom w:val="single" w:color="auto" w:sz="4" w:space="0"/>
                  </w:tcBorders>
                  <w:noWrap/>
                  <w:vAlign w:val="center"/>
                </w:tcPr>
                <w:p w14:paraId="39A05656">
                  <w:pPr>
                    <w:jc w:val="center"/>
                    <w:rPr>
                      <w:bCs/>
                      <w:i/>
                      <w:iCs/>
                      <w:color w:val="auto"/>
                      <w:kern w:val="2"/>
                      <w:sz w:val="18"/>
                      <w:szCs w:val="18"/>
                      <w:highlight w:val="none"/>
                      <w:u w:val="single"/>
                    </w:rPr>
                  </w:pPr>
                  <w:r>
                    <w:rPr>
                      <w:rFonts w:hint="eastAsia"/>
                      <w:bCs/>
                      <w:i/>
                      <w:iCs/>
                      <w:color w:val="auto"/>
                      <w:kern w:val="2"/>
                      <w:sz w:val="18"/>
                      <w:szCs w:val="18"/>
                      <w:highlight w:val="none"/>
                      <w:u w:val="single"/>
                    </w:rPr>
                    <w:t>0.687</w:t>
                  </w:r>
                </w:p>
              </w:tc>
              <w:tc>
                <w:tcPr>
                  <w:tcW w:w="1033" w:type="dxa"/>
                  <w:tcBorders>
                    <w:bottom w:val="single" w:color="auto" w:sz="4" w:space="0"/>
                  </w:tcBorders>
                  <w:noWrap/>
                  <w:vAlign w:val="center"/>
                </w:tcPr>
                <w:p w14:paraId="0F94FC8E">
                  <w:pPr>
                    <w:jc w:val="center"/>
                    <w:rPr>
                      <w:bCs/>
                      <w:i/>
                      <w:iCs/>
                      <w:color w:val="auto"/>
                      <w:sz w:val="18"/>
                      <w:szCs w:val="18"/>
                      <w:highlight w:val="none"/>
                      <w:u w:val="single"/>
                    </w:rPr>
                  </w:pPr>
                  <w:r>
                    <w:rPr>
                      <w:rFonts w:hint="eastAsia"/>
                      <w:bCs/>
                      <w:i/>
                      <w:iCs/>
                      <w:color w:val="auto"/>
                      <w:sz w:val="18"/>
                      <w:szCs w:val="18"/>
                      <w:highlight w:val="none"/>
                      <w:u w:val="single"/>
                    </w:rPr>
                    <w:t>0.2164</w:t>
                  </w:r>
                </w:p>
              </w:tc>
            </w:tr>
            <w:tr w14:paraId="186F14B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26" w:hRule="atLeast"/>
                <w:jc w:val="center"/>
              </w:trPr>
              <w:tc>
                <w:tcPr>
                  <w:tcW w:w="610" w:type="dxa"/>
                  <w:vMerge w:val="continue"/>
                  <w:noWrap/>
                  <w:vAlign w:val="center"/>
                </w:tcPr>
                <w:p w14:paraId="2D4271BD">
                  <w:pPr>
                    <w:jc w:val="center"/>
                    <w:rPr>
                      <w:bCs/>
                      <w:i/>
                      <w:iCs/>
                      <w:color w:val="auto"/>
                      <w:sz w:val="18"/>
                      <w:szCs w:val="18"/>
                      <w:highlight w:val="none"/>
                      <w:u w:val="single"/>
                    </w:rPr>
                  </w:pPr>
                </w:p>
              </w:tc>
              <w:tc>
                <w:tcPr>
                  <w:tcW w:w="990" w:type="dxa"/>
                  <w:vMerge w:val="continue"/>
                  <w:tcBorders>
                    <w:right w:val="single" w:color="auto" w:sz="4" w:space="0"/>
                  </w:tcBorders>
                  <w:noWrap/>
                  <w:vAlign w:val="center"/>
                </w:tcPr>
                <w:p w14:paraId="787D2800">
                  <w:pPr>
                    <w:jc w:val="center"/>
                    <w:rPr>
                      <w:i/>
                      <w:iCs/>
                      <w:color w:val="auto"/>
                      <w:sz w:val="18"/>
                      <w:szCs w:val="18"/>
                      <w:highlight w:val="none"/>
                      <w:u w:val="single"/>
                    </w:rPr>
                  </w:pPr>
                </w:p>
              </w:tc>
              <w:tc>
                <w:tcPr>
                  <w:tcW w:w="760" w:type="dxa"/>
                  <w:tcBorders>
                    <w:top w:val="single" w:color="auto" w:sz="4" w:space="0"/>
                    <w:left w:val="single" w:color="auto" w:sz="4" w:space="0"/>
                  </w:tcBorders>
                  <w:noWrap/>
                  <w:vAlign w:val="center"/>
                </w:tcPr>
                <w:p w14:paraId="048CA0FE">
                  <w:pPr>
                    <w:jc w:val="center"/>
                    <w:rPr>
                      <w:i/>
                      <w:iCs/>
                      <w:color w:val="auto"/>
                      <w:sz w:val="18"/>
                      <w:szCs w:val="18"/>
                      <w:highlight w:val="none"/>
                      <w:u w:val="single"/>
                    </w:rPr>
                  </w:pPr>
                  <w:r>
                    <w:rPr>
                      <w:rFonts w:hint="eastAsia"/>
                      <w:i/>
                      <w:iCs/>
                      <w:color w:val="auto"/>
                      <w:sz w:val="18"/>
                      <w:szCs w:val="18"/>
                      <w:highlight w:val="none"/>
                      <w:u w:val="single"/>
                    </w:rPr>
                    <w:t>无组织</w:t>
                  </w:r>
                </w:p>
              </w:tc>
              <w:tc>
                <w:tcPr>
                  <w:tcW w:w="660" w:type="dxa"/>
                  <w:vMerge w:val="continue"/>
                  <w:noWrap/>
                  <w:vAlign w:val="center"/>
                </w:tcPr>
                <w:p w14:paraId="0CEB01A3">
                  <w:pPr>
                    <w:jc w:val="center"/>
                    <w:rPr>
                      <w:bCs/>
                      <w:i/>
                      <w:iCs/>
                      <w:color w:val="auto"/>
                      <w:sz w:val="18"/>
                      <w:szCs w:val="18"/>
                      <w:highlight w:val="none"/>
                      <w:u w:val="single"/>
                    </w:rPr>
                  </w:pPr>
                </w:p>
              </w:tc>
              <w:tc>
                <w:tcPr>
                  <w:tcW w:w="730" w:type="dxa"/>
                  <w:tcBorders>
                    <w:top w:val="single" w:color="auto" w:sz="4" w:space="0"/>
                  </w:tcBorders>
                  <w:noWrap/>
                  <w:vAlign w:val="center"/>
                </w:tcPr>
                <w:p w14:paraId="6B3C82A5">
                  <w:pPr>
                    <w:jc w:val="center"/>
                    <w:rPr>
                      <w:i/>
                      <w:iCs/>
                      <w:color w:val="auto"/>
                      <w:spacing w:val="-4"/>
                      <w:position w:val="2"/>
                      <w:sz w:val="18"/>
                      <w:szCs w:val="18"/>
                      <w:highlight w:val="none"/>
                      <w:u w:val="single"/>
                    </w:rPr>
                  </w:pPr>
                  <w:r>
                    <w:rPr>
                      <w:rFonts w:hint="eastAsia"/>
                      <w:i/>
                      <w:iCs/>
                      <w:color w:val="auto"/>
                      <w:spacing w:val="-4"/>
                      <w:position w:val="2"/>
                      <w:sz w:val="18"/>
                      <w:szCs w:val="18"/>
                      <w:highlight w:val="none"/>
                      <w:u w:val="single"/>
                    </w:rPr>
                    <w:t>3.616</w:t>
                  </w:r>
                </w:p>
              </w:tc>
              <w:tc>
                <w:tcPr>
                  <w:tcW w:w="1293" w:type="dxa"/>
                  <w:tcBorders>
                    <w:top w:val="single" w:color="auto" w:sz="4" w:space="0"/>
                  </w:tcBorders>
                  <w:noWrap/>
                  <w:vAlign w:val="center"/>
                </w:tcPr>
                <w:p w14:paraId="6B7315B8">
                  <w:pPr>
                    <w:jc w:val="center"/>
                    <w:rPr>
                      <w:i/>
                      <w:iCs/>
                      <w:color w:val="auto"/>
                      <w:spacing w:val="-4"/>
                      <w:position w:val="2"/>
                      <w:sz w:val="18"/>
                      <w:szCs w:val="18"/>
                      <w:highlight w:val="none"/>
                      <w:u w:val="single"/>
                    </w:rPr>
                  </w:pPr>
                  <w:r>
                    <w:rPr>
                      <w:rFonts w:hint="eastAsia"/>
                      <w:i/>
                      <w:iCs/>
                      <w:color w:val="auto"/>
                      <w:spacing w:val="-4"/>
                      <w:position w:val="2"/>
                      <w:sz w:val="18"/>
                      <w:szCs w:val="18"/>
                      <w:highlight w:val="none"/>
                      <w:u w:val="single"/>
                    </w:rPr>
                    <w:t>水雾喷淋</w:t>
                  </w:r>
                </w:p>
              </w:tc>
              <w:tc>
                <w:tcPr>
                  <w:tcW w:w="747" w:type="dxa"/>
                  <w:tcBorders>
                    <w:top w:val="single" w:color="auto" w:sz="4" w:space="0"/>
                  </w:tcBorders>
                  <w:noWrap/>
                  <w:vAlign w:val="center"/>
                </w:tcPr>
                <w:p w14:paraId="7D149F04">
                  <w:pPr>
                    <w:jc w:val="center"/>
                    <w:rPr>
                      <w:bCs/>
                      <w:i/>
                      <w:iCs/>
                      <w:color w:val="auto"/>
                      <w:sz w:val="18"/>
                      <w:szCs w:val="18"/>
                      <w:highlight w:val="none"/>
                      <w:u w:val="single"/>
                    </w:rPr>
                  </w:pPr>
                  <w:r>
                    <w:rPr>
                      <w:rFonts w:hint="eastAsia"/>
                      <w:bCs/>
                      <w:i/>
                      <w:iCs/>
                      <w:color w:val="auto"/>
                      <w:sz w:val="18"/>
                      <w:szCs w:val="18"/>
                      <w:highlight w:val="none"/>
                      <w:u w:val="single"/>
                    </w:rPr>
                    <w:t>/</w:t>
                  </w:r>
                </w:p>
              </w:tc>
              <w:tc>
                <w:tcPr>
                  <w:tcW w:w="950" w:type="dxa"/>
                  <w:tcBorders>
                    <w:top w:val="single" w:color="auto" w:sz="4" w:space="0"/>
                  </w:tcBorders>
                  <w:noWrap/>
                  <w:vAlign w:val="center"/>
                </w:tcPr>
                <w:p w14:paraId="762890C0">
                  <w:pPr>
                    <w:jc w:val="center"/>
                    <w:rPr>
                      <w:bCs/>
                      <w:i/>
                      <w:iCs/>
                      <w:color w:val="auto"/>
                      <w:kern w:val="2"/>
                      <w:sz w:val="18"/>
                      <w:szCs w:val="18"/>
                      <w:highlight w:val="none"/>
                      <w:u w:val="single"/>
                    </w:rPr>
                  </w:pPr>
                  <w:r>
                    <w:rPr>
                      <w:rFonts w:hint="eastAsia"/>
                      <w:bCs/>
                      <w:i/>
                      <w:iCs/>
                      <w:color w:val="auto"/>
                      <w:kern w:val="2"/>
                      <w:sz w:val="18"/>
                      <w:szCs w:val="18"/>
                      <w:highlight w:val="none"/>
                      <w:u w:val="single"/>
                    </w:rPr>
                    <w:t>3.616</w:t>
                  </w:r>
                </w:p>
              </w:tc>
              <w:tc>
                <w:tcPr>
                  <w:tcW w:w="1033" w:type="dxa"/>
                  <w:tcBorders>
                    <w:top w:val="single" w:color="auto" w:sz="4" w:space="0"/>
                  </w:tcBorders>
                  <w:noWrap/>
                  <w:vAlign w:val="center"/>
                </w:tcPr>
                <w:p w14:paraId="78968DC0">
                  <w:pPr>
                    <w:jc w:val="center"/>
                    <w:rPr>
                      <w:bCs/>
                      <w:i/>
                      <w:iCs/>
                      <w:color w:val="auto"/>
                      <w:sz w:val="18"/>
                      <w:szCs w:val="18"/>
                      <w:highlight w:val="none"/>
                      <w:u w:val="single"/>
                    </w:rPr>
                  </w:pPr>
                  <w:r>
                    <w:rPr>
                      <w:rFonts w:hint="eastAsia"/>
                      <w:bCs/>
                      <w:i/>
                      <w:iCs/>
                      <w:color w:val="auto"/>
                      <w:sz w:val="18"/>
                      <w:szCs w:val="18"/>
                      <w:highlight w:val="none"/>
                      <w:u w:val="single"/>
                    </w:rPr>
                    <w:t>1.1388</w:t>
                  </w:r>
                </w:p>
              </w:tc>
            </w:tr>
            <w:tr w14:paraId="049AC2C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610" w:type="dxa"/>
                  <w:tcBorders>
                    <w:right w:val="single" w:color="auto" w:sz="4" w:space="0"/>
                  </w:tcBorders>
                  <w:noWrap/>
                  <w:vAlign w:val="center"/>
                </w:tcPr>
                <w:p w14:paraId="31C0D4AA">
                  <w:pPr>
                    <w:jc w:val="center"/>
                    <w:rPr>
                      <w:i/>
                      <w:iCs/>
                      <w:color w:val="auto"/>
                      <w:sz w:val="18"/>
                      <w:szCs w:val="18"/>
                      <w:highlight w:val="none"/>
                      <w:u w:val="single"/>
                    </w:rPr>
                  </w:pPr>
                  <w:r>
                    <w:rPr>
                      <w:bCs/>
                      <w:i/>
                      <w:iCs/>
                      <w:color w:val="auto"/>
                      <w:sz w:val="18"/>
                      <w:szCs w:val="18"/>
                      <w:highlight w:val="none"/>
                      <w:u w:val="single"/>
                    </w:rPr>
                    <w:t>合计</w:t>
                  </w:r>
                </w:p>
              </w:tc>
              <w:tc>
                <w:tcPr>
                  <w:tcW w:w="990" w:type="dxa"/>
                  <w:tcBorders>
                    <w:left w:val="single" w:color="auto" w:sz="4" w:space="0"/>
                    <w:right w:val="single" w:color="auto" w:sz="4" w:space="0"/>
                  </w:tcBorders>
                  <w:noWrap/>
                  <w:vAlign w:val="center"/>
                </w:tcPr>
                <w:p w14:paraId="1B1877DA">
                  <w:pPr>
                    <w:jc w:val="center"/>
                    <w:rPr>
                      <w:bCs/>
                      <w:i/>
                      <w:iCs/>
                      <w:color w:val="auto"/>
                      <w:sz w:val="18"/>
                      <w:szCs w:val="18"/>
                      <w:highlight w:val="none"/>
                      <w:u w:val="single"/>
                    </w:rPr>
                  </w:pPr>
                </w:p>
              </w:tc>
              <w:tc>
                <w:tcPr>
                  <w:tcW w:w="760" w:type="dxa"/>
                  <w:tcBorders>
                    <w:left w:val="single" w:color="auto" w:sz="4" w:space="0"/>
                  </w:tcBorders>
                  <w:noWrap/>
                  <w:vAlign w:val="center"/>
                </w:tcPr>
                <w:p w14:paraId="4D1FB2B2">
                  <w:pPr>
                    <w:jc w:val="center"/>
                    <w:rPr>
                      <w:bCs/>
                      <w:i/>
                      <w:iCs/>
                      <w:color w:val="auto"/>
                      <w:sz w:val="18"/>
                      <w:szCs w:val="18"/>
                      <w:highlight w:val="none"/>
                      <w:u w:val="single"/>
                    </w:rPr>
                  </w:pPr>
                </w:p>
              </w:tc>
              <w:tc>
                <w:tcPr>
                  <w:tcW w:w="660" w:type="dxa"/>
                  <w:noWrap/>
                  <w:vAlign w:val="center"/>
                </w:tcPr>
                <w:p w14:paraId="57653FA9">
                  <w:pPr>
                    <w:jc w:val="center"/>
                    <w:rPr>
                      <w:bCs/>
                      <w:i/>
                      <w:iCs/>
                      <w:color w:val="auto"/>
                      <w:sz w:val="18"/>
                      <w:szCs w:val="18"/>
                      <w:highlight w:val="none"/>
                      <w:u w:val="single"/>
                    </w:rPr>
                  </w:pPr>
                </w:p>
              </w:tc>
              <w:tc>
                <w:tcPr>
                  <w:tcW w:w="730" w:type="dxa"/>
                  <w:noWrap/>
                  <w:vAlign w:val="center"/>
                </w:tcPr>
                <w:p w14:paraId="2A8D41FF">
                  <w:pPr>
                    <w:jc w:val="center"/>
                    <w:rPr>
                      <w:rFonts w:hint="default" w:eastAsia="宋体"/>
                      <w:i/>
                      <w:iCs/>
                      <w:color w:val="auto"/>
                      <w:spacing w:val="-4"/>
                      <w:position w:val="2"/>
                      <w:sz w:val="18"/>
                      <w:szCs w:val="18"/>
                      <w:highlight w:val="none"/>
                      <w:u w:val="single"/>
                      <w:lang w:val="en-US" w:eastAsia="zh-CN"/>
                    </w:rPr>
                  </w:pPr>
                  <w:r>
                    <w:rPr>
                      <w:rFonts w:hint="eastAsia"/>
                      <w:i/>
                      <w:iCs/>
                      <w:color w:val="auto"/>
                      <w:spacing w:val="-4"/>
                      <w:position w:val="2"/>
                      <w:sz w:val="18"/>
                      <w:szCs w:val="18"/>
                      <w:highlight w:val="none"/>
                      <w:u w:val="single"/>
                      <w:lang w:val="en-US" w:eastAsia="zh-CN"/>
                    </w:rPr>
                    <w:t>976.6962</w:t>
                  </w:r>
                </w:p>
              </w:tc>
              <w:tc>
                <w:tcPr>
                  <w:tcW w:w="1293" w:type="dxa"/>
                  <w:noWrap/>
                  <w:vAlign w:val="center"/>
                </w:tcPr>
                <w:p w14:paraId="414B5C10">
                  <w:pPr>
                    <w:jc w:val="center"/>
                    <w:rPr>
                      <w:i/>
                      <w:iCs/>
                      <w:color w:val="auto"/>
                      <w:spacing w:val="-4"/>
                      <w:position w:val="2"/>
                      <w:sz w:val="18"/>
                      <w:szCs w:val="18"/>
                      <w:highlight w:val="none"/>
                      <w:u w:val="single"/>
                    </w:rPr>
                  </w:pPr>
                </w:p>
              </w:tc>
              <w:tc>
                <w:tcPr>
                  <w:tcW w:w="747" w:type="dxa"/>
                  <w:noWrap/>
                  <w:vAlign w:val="center"/>
                </w:tcPr>
                <w:p w14:paraId="46648135">
                  <w:pPr>
                    <w:jc w:val="center"/>
                    <w:rPr>
                      <w:bCs/>
                      <w:i/>
                      <w:iCs/>
                      <w:color w:val="auto"/>
                      <w:sz w:val="18"/>
                      <w:szCs w:val="18"/>
                      <w:highlight w:val="none"/>
                      <w:u w:val="single"/>
                    </w:rPr>
                  </w:pPr>
                </w:p>
              </w:tc>
              <w:tc>
                <w:tcPr>
                  <w:tcW w:w="950" w:type="dxa"/>
                  <w:noWrap/>
                  <w:vAlign w:val="center"/>
                </w:tcPr>
                <w:p w14:paraId="72AD2013">
                  <w:pPr>
                    <w:jc w:val="center"/>
                    <w:rPr>
                      <w:rFonts w:hint="default" w:eastAsia="宋体"/>
                      <w:bCs/>
                      <w:i/>
                      <w:iCs/>
                      <w:color w:val="auto"/>
                      <w:kern w:val="2"/>
                      <w:sz w:val="18"/>
                      <w:szCs w:val="18"/>
                      <w:highlight w:val="none"/>
                      <w:u w:val="single"/>
                      <w:lang w:val="en-US" w:eastAsia="zh-CN"/>
                    </w:rPr>
                  </w:pPr>
                  <w:r>
                    <w:rPr>
                      <w:rFonts w:hint="eastAsia"/>
                      <w:bCs/>
                      <w:i/>
                      <w:iCs/>
                      <w:color w:val="auto"/>
                      <w:kern w:val="2"/>
                      <w:sz w:val="18"/>
                      <w:szCs w:val="18"/>
                      <w:highlight w:val="none"/>
                      <w:u w:val="single"/>
                      <w:lang w:val="en-US" w:eastAsia="zh-CN"/>
                    </w:rPr>
                    <w:t>17.3193</w:t>
                  </w:r>
                </w:p>
              </w:tc>
              <w:tc>
                <w:tcPr>
                  <w:tcW w:w="1033" w:type="dxa"/>
                  <w:noWrap/>
                  <w:vAlign w:val="center"/>
                </w:tcPr>
                <w:p w14:paraId="755E6FE8">
                  <w:pPr>
                    <w:jc w:val="center"/>
                    <w:rPr>
                      <w:bCs/>
                      <w:i/>
                      <w:iCs/>
                      <w:color w:val="auto"/>
                      <w:sz w:val="18"/>
                      <w:szCs w:val="18"/>
                      <w:highlight w:val="none"/>
                      <w:u w:val="single"/>
                    </w:rPr>
                  </w:pPr>
                </w:p>
              </w:tc>
            </w:tr>
          </w:tbl>
          <w:p w14:paraId="612A8554">
            <w:pPr>
              <w:adjustRightInd w:val="0"/>
              <w:snapToGrid w:val="0"/>
              <w:ind w:firstLine="420"/>
              <w:rPr>
                <w:i/>
                <w:iCs/>
                <w:color w:val="auto"/>
                <w:sz w:val="10"/>
                <w:szCs w:val="10"/>
                <w:u w:val="single"/>
              </w:rPr>
            </w:pPr>
          </w:p>
          <w:p w14:paraId="1D67E4D1">
            <w:pPr>
              <w:adjustRightInd w:val="0"/>
              <w:snapToGrid w:val="0"/>
              <w:spacing w:line="360" w:lineRule="auto"/>
              <w:rPr>
                <w:i/>
                <w:iCs/>
                <w:color w:val="auto"/>
                <w:u w:val="single"/>
              </w:rPr>
            </w:pPr>
            <w:r>
              <w:rPr>
                <w:rFonts w:hint="eastAsia"/>
                <w:i/>
                <w:iCs/>
                <w:color w:val="auto"/>
                <w:u w:val="single"/>
              </w:rPr>
              <w:t>2</w:t>
            </w:r>
            <w:r>
              <w:rPr>
                <w:i/>
                <w:iCs/>
                <w:color w:val="auto"/>
                <w:u w:val="single"/>
              </w:rPr>
              <w:t>.</w:t>
            </w:r>
            <w:r>
              <w:rPr>
                <w:rFonts w:hint="eastAsia"/>
                <w:i/>
                <w:iCs/>
                <w:color w:val="auto"/>
                <w:u w:val="single"/>
              </w:rPr>
              <w:t>2污染防治措施</w:t>
            </w:r>
          </w:p>
          <w:p w14:paraId="7325B686">
            <w:pPr>
              <w:adjustRightInd w:val="0"/>
              <w:snapToGrid w:val="0"/>
              <w:spacing w:line="360" w:lineRule="auto"/>
              <w:ind w:firstLine="420" w:firstLineChars="200"/>
              <w:jc w:val="left"/>
              <w:rPr>
                <w:color w:val="auto"/>
              </w:rPr>
            </w:pPr>
            <w:r>
              <w:rPr>
                <w:i/>
                <w:iCs/>
                <w:color w:val="auto"/>
                <w:u w:val="single"/>
              </w:rPr>
              <w:t>根据《排污许可证申请与核发技术规范 陶瓷砖瓦工业》其他制品类工业中破碎机可行技术为：湿法作业或采取袋式除尘等技术，本项目破碎机采取</w:t>
            </w:r>
            <w:r>
              <w:rPr>
                <w:rFonts w:hint="eastAsia"/>
                <w:i/>
                <w:iCs/>
                <w:color w:val="auto"/>
                <w:u w:val="single"/>
              </w:rPr>
              <w:t>布袋除尘</w:t>
            </w:r>
            <w:r>
              <w:rPr>
                <w:i/>
                <w:iCs/>
                <w:color w:val="auto"/>
                <w:u w:val="single"/>
              </w:rPr>
              <w:t>，属于</w:t>
            </w:r>
            <w:r>
              <w:rPr>
                <w:rFonts w:hint="eastAsia"/>
                <w:i/>
                <w:iCs/>
                <w:color w:val="auto"/>
                <w:u w:val="single"/>
              </w:rPr>
              <w:t>排污许可推荐的</w:t>
            </w:r>
            <w:r>
              <w:rPr>
                <w:i/>
                <w:iCs/>
                <w:color w:val="auto"/>
                <w:u w:val="single"/>
              </w:rPr>
              <w:t>可行技术。</w:t>
            </w:r>
          </w:p>
          <w:p w14:paraId="0D58F781">
            <w:pPr>
              <w:adjustRightInd w:val="0"/>
              <w:snapToGrid w:val="0"/>
              <w:spacing w:line="360" w:lineRule="auto"/>
              <w:ind w:firstLine="420" w:firstLineChars="200"/>
              <w:jc w:val="left"/>
              <w:rPr>
                <w:color w:val="auto"/>
              </w:rPr>
            </w:pPr>
            <w:r>
              <w:rPr>
                <w:color w:val="auto"/>
              </w:rPr>
              <w:t>堆场扬尘：</w:t>
            </w:r>
            <w:r>
              <w:rPr>
                <w:color w:val="auto"/>
                <w:kern w:val="2"/>
              </w:rPr>
              <w:t>产品为清洗后的机制砂，较为清洁，且含水率较高，故产品堆场基本不会产生扬尘污染；</w:t>
            </w:r>
            <w:r>
              <w:rPr>
                <w:color w:val="auto"/>
              </w:rPr>
              <w:t>原料堆场主要为废矿石，堆场起尘主要是废石中的粉尘在风力作用下，产生的扬尘，企业</w:t>
            </w:r>
            <w:r>
              <w:rPr>
                <w:color w:val="auto"/>
                <w:spacing w:val="-2"/>
              </w:rPr>
              <w:t>堆场地面硬化，</w:t>
            </w:r>
            <w:r>
              <w:rPr>
                <w:rFonts w:hint="eastAsia"/>
                <w:color w:val="auto"/>
                <w:spacing w:val="-2"/>
                <w:lang w:val="en-US" w:eastAsia="zh-CN"/>
              </w:rPr>
              <w:t>采用围挡，</w:t>
            </w:r>
            <w:r>
              <w:rPr>
                <w:rFonts w:hint="eastAsia"/>
                <w:color w:val="auto"/>
                <w:spacing w:val="-2"/>
              </w:rPr>
              <w:t>堆场</w:t>
            </w:r>
            <w:r>
              <w:rPr>
                <w:color w:val="auto"/>
                <w:spacing w:val="-2"/>
              </w:rPr>
              <w:t>苫布覆盖</w:t>
            </w:r>
            <w:r>
              <w:rPr>
                <w:color w:val="auto"/>
              </w:rPr>
              <w:t>，且企业定期进行洒水降尘，可减少扬尘污染。</w:t>
            </w:r>
          </w:p>
          <w:p w14:paraId="32F07876">
            <w:pPr>
              <w:snapToGrid w:val="0"/>
              <w:spacing w:line="360" w:lineRule="auto"/>
              <w:ind w:firstLine="420" w:firstLineChars="200"/>
              <w:rPr>
                <w:color w:val="auto"/>
              </w:rPr>
            </w:pPr>
            <w:r>
              <w:rPr>
                <w:color w:val="auto"/>
              </w:rPr>
              <w:t>装卸扬尘：装卸过程中，采用喷淋措施减小装卸过程中的扬尘</w:t>
            </w:r>
            <w:r>
              <w:rPr>
                <w:rFonts w:hint="eastAsia"/>
                <w:color w:val="auto"/>
              </w:rPr>
              <w:t>；</w:t>
            </w:r>
            <w:r>
              <w:rPr>
                <w:rFonts w:hint="eastAsia"/>
                <w:i/>
                <w:iCs/>
                <w:color w:val="auto"/>
                <w:u w:val="single"/>
              </w:rPr>
              <w:t>原料/成品采用专用运输卡车，严禁敞篷运输，设置篷布遮盖并罩上防尘网，降低车速，减少运输过程中产生的粉尘，并防止物料掉落。</w:t>
            </w:r>
          </w:p>
          <w:p w14:paraId="520A5730">
            <w:pPr>
              <w:widowControl/>
              <w:shd w:val="clear" w:color="auto" w:fill="FFFFFF"/>
              <w:adjustRightInd w:val="0"/>
              <w:snapToGrid w:val="0"/>
              <w:spacing w:line="360" w:lineRule="auto"/>
              <w:ind w:firstLine="420" w:firstLineChars="200"/>
              <w:jc w:val="left"/>
              <w:rPr>
                <w:color w:val="auto"/>
              </w:rPr>
            </w:pPr>
            <w:r>
              <w:rPr>
                <w:color w:val="auto"/>
              </w:rPr>
              <w:t>运输车辆加盖苫布</w:t>
            </w:r>
            <w:r>
              <w:rPr>
                <w:rFonts w:hint="eastAsia"/>
                <w:color w:val="auto"/>
              </w:rPr>
              <w:t>，降低车速</w:t>
            </w:r>
            <w:r>
              <w:rPr>
                <w:color w:val="auto"/>
              </w:rPr>
              <w:t>，既能减少物质的损失，也可以减轻对环境的尘粒污染。</w:t>
            </w:r>
          </w:p>
          <w:p w14:paraId="7FC182BE">
            <w:pPr>
              <w:widowControl/>
              <w:shd w:val="clear" w:color="auto" w:fill="FFFFFF"/>
              <w:adjustRightInd w:val="0"/>
              <w:snapToGrid w:val="0"/>
              <w:spacing w:line="360" w:lineRule="auto"/>
              <w:ind w:firstLine="420" w:firstLineChars="200"/>
              <w:jc w:val="left"/>
              <w:rPr>
                <w:color w:val="auto"/>
              </w:rPr>
            </w:pPr>
            <w:r>
              <w:rPr>
                <w:color w:val="auto"/>
              </w:rPr>
              <w:t>运输扬尘：厂区地面硬化、加强厂区地面清洁及定期洒水降尘等方式，可降低运输扬尘。</w:t>
            </w:r>
          </w:p>
          <w:p w14:paraId="6C24BCD7">
            <w:pPr>
              <w:widowControl/>
              <w:shd w:val="clear" w:color="auto" w:fill="FFFFFF"/>
              <w:adjustRightInd w:val="0"/>
              <w:snapToGrid w:val="0"/>
              <w:spacing w:line="360" w:lineRule="auto"/>
              <w:ind w:firstLine="420" w:firstLineChars="200"/>
              <w:jc w:val="left"/>
              <w:rPr>
                <w:color w:val="auto"/>
              </w:rPr>
            </w:pPr>
            <w:r>
              <w:rPr>
                <w:color w:val="auto"/>
              </w:rPr>
              <w:t>输送粉尘：原料及产品采取传送带</w:t>
            </w:r>
            <w:r>
              <w:rPr>
                <w:rFonts w:hint="eastAsia"/>
                <w:color w:val="auto"/>
              </w:rPr>
              <w:t>密闭</w:t>
            </w:r>
            <w:r>
              <w:rPr>
                <w:color w:val="auto"/>
              </w:rPr>
              <w:t>输送，定期检查输送带是否有破损、缝隙，有缝隙产生的地方焊接封闭严实，并在传送带卸料口处安装水雾喷淋装置，可有效减少粉尘污染。</w:t>
            </w:r>
          </w:p>
          <w:p w14:paraId="4DADB280">
            <w:pPr>
              <w:widowControl/>
              <w:shd w:val="clear" w:color="auto" w:fill="FFFFFF"/>
              <w:adjustRightInd w:val="0"/>
              <w:snapToGrid w:val="0"/>
              <w:spacing w:line="360" w:lineRule="auto"/>
              <w:ind w:firstLine="420" w:firstLineChars="200"/>
              <w:jc w:val="left"/>
              <w:rPr>
                <w:color w:val="auto"/>
              </w:rPr>
            </w:pPr>
            <w:r>
              <w:rPr>
                <w:color w:val="auto"/>
              </w:rPr>
              <w:t>上料粉尘：在上料口安装水雾喷淋装置，可有效减少粉尘污染。</w:t>
            </w:r>
          </w:p>
          <w:p w14:paraId="68ACC2F4">
            <w:pPr>
              <w:widowControl/>
              <w:shd w:val="clear" w:color="auto" w:fill="FFFFFF"/>
              <w:adjustRightInd w:val="0"/>
              <w:snapToGrid w:val="0"/>
              <w:spacing w:line="360" w:lineRule="auto"/>
              <w:ind w:firstLine="420" w:firstLineChars="200"/>
              <w:jc w:val="left"/>
              <w:rPr>
                <w:color w:val="auto"/>
              </w:rPr>
            </w:pPr>
            <w:r>
              <w:rPr>
                <w:rFonts w:hint="eastAsia"/>
                <w:color w:val="auto"/>
              </w:rPr>
              <w:t>破碎粉尘：采用密闭破碎设备，并采用布袋除尘器进行除尘，可有效减少粉尘产生。</w:t>
            </w:r>
          </w:p>
          <w:p w14:paraId="2FB40BFA">
            <w:pPr>
              <w:widowControl/>
              <w:shd w:val="clear" w:color="auto" w:fill="FFFFFF"/>
              <w:adjustRightInd w:val="0"/>
              <w:snapToGrid w:val="0"/>
              <w:spacing w:line="360" w:lineRule="auto"/>
              <w:ind w:firstLine="420" w:firstLineChars="200"/>
              <w:jc w:val="left"/>
              <w:rPr>
                <w:color w:val="auto"/>
              </w:rPr>
            </w:pPr>
            <w:r>
              <w:rPr>
                <w:rFonts w:hint="eastAsia"/>
                <w:color w:val="auto"/>
              </w:rPr>
              <w:t>通过上述措施，可使本项目厂界粉尘满足</w:t>
            </w:r>
            <w:r>
              <w:rPr>
                <w:color w:val="auto"/>
              </w:rPr>
              <w:t>《大气污染物综合排放标准》（GB16297-1996）无组织排放监控浓度限值</w:t>
            </w:r>
            <w:r>
              <w:rPr>
                <w:rFonts w:hint="eastAsia"/>
                <w:color w:val="auto"/>
              </w:rPr>
              <w:t>要求。</w:t>
            </w:r>
          </w:p>
          <w:p w14:paraId="0BA64EC3">
            <w:pPr>
              <w:widowControl/>
              <w:shd w:val="clear" w:color="auto" w:fill="FFFFFF"/>
              <w:adjustRightInd w:val="0"/>
              <w:snapToGrid w:val="0"/>
              <w:spacing w:line="360" w:lineRule="auto"/>
              <w:ind w:firstLine="420" w:firstLineChars="200"/>
              <w:jc w:val="left"/>
              <w:rPr>
                <w:color w:val="auto"/>
              </w:rPr>
            </w:pPr>
            <w:r>
              <w:rPr>
                <w:color w:val="auto"/>
              </w:rPr>
              <w:t>根据《吉林省大气污染防治条例》“第十九条 运输煤炭、垃圾、渣土、砂石、土方、水泥、灰浆等散装、流体物料的车辆应当采取密闭或者其他措施防止物料遗撒造成扬尘污染，并按照规定路线行驶。装卸物料应当采取密闭或者喷淋等方式防治扬尘污染。”本项目物料运输过程中采取密闭形式，装卸物料采取喷淋措施，满足《吉林省大气污染防治条例》要求。</w:t>
            </w:r>
          </w:p>
          <w:p w14:paraId="0C166AAF">
            <w:pPr>
              <w:adjustRightInd w:val="0"/>
              <w:snapToGrid w:val="0"/>
              <w:spacing w:line="360" w:lineRule="auto"/>
              <w:rPr>
                <w:color w:val="auto"/>
              </w:rPr>
            </w:pPr>
            <w:r>
              <w:rPr>
                <w:rFonts w:hint="eastAsia"/>
                <w:color w:val="auto"/>
              </w:rPr>
              <w:t>2.3 废气排放环境影响</w:t>
            </w:r>
          </w:p>
          <w:p w14:paraId="55CA741F">
            <w:pPr>
              <w:adjustRightInd w:val="0"/>
              <w:snapToGrid w:val="0"/>
              <w:spacing w:line="360" w:lineRule="auto"/>
              <w:ind w:firstLine="420" w:firstLineChars="200"/>
              <w:rPr>
                <w:rFonts w:ascii="宋体" w:hAnsi="宋体"/>
                <w:color w:val="auto"/>
              </w:rPr>
            </w:pPr>
            <w:r>
              <w:rPr>
                <w:rFonts w:hint="eastAsia" w:ascii="宋体" w:hAnsi="宋体"/>
                <w:color w:val="auto"/>
              </w:rPr>
              <w:t>根据区域环境现状补充监测可知，目前区域环境质量较好，项目周</w:t>
            </w:r>
            <w:r>
              <w:rPr>
                <w:rFonts w:hint="eastAsia" w:cs="宋体" w:hAnsiTheme="minorHAnsi" w:eastAsiaTheme="minorEastAsia"/>
                <w:color w:val="auto"/>
              </w:rPr>
              <w:t>围200m范</w:t>
            </w:r>
            <w:r>
              <w:rPr>
                <w:rFonts w:hint="eastAsia" w:ascii="宋体" w:hAnsi="宋体"/>
                <w:color w:val="auto"/>
              </w:rPr>
              <w:t>围内，无大气敏感目标，</w:t>
            </w:r>
            <w:r>
              <w:rPr>
                <w:rFonts w:ascii="宋体" w:hAnsi="宋体"/>
                <w:color w:val="auto"/>
              </w:rPr>
              <w:t>距离本项目最近的敏感目标为</w:t>
            </w:r>
            <w:r>
              <w:rPr>
                <w:rFonts w:hint="eastAsia" w:cs="宋体" w:hAnsiTheme="minorHAnsi" w:eastAsiaTheme="minorEastAsia"/>
                <w:color w:val="auto"/>
              </w:rPr>
              <w:t>项目厂界500m范围内无村屯，距离厂界最近的敏感目标为</w:t>
            </w:r>
            <w:r>
              <w:rPr>
                <w:rFonts w:hint="eastAsia"/>
                <w:color w:val="auto"/>
              </w:rPr>
              <w:t>西北</w:t>
            </w:r>
            <w:r>
              <w:rPr>
                <w:color w:val="auto"/>
              </w:rPr>
              <w:t>侧约</w:t>
            </w:r>
            <w:r>
              <w:rPr>
                <w:rFonts w:hint="eastAsia"/>
                <w:color w:val="auto"/>
              </w:rPr>
              <w:t>211</w:t>
            </w:r>
            <w:r>
              <w:rPr>
                <w:color w:val="auto"/>
              </w:rPr>
              <w:t>m处的</w:t>
            </w:r>
            <w:r>
              <w:rPr>
                <w:rFonts w:hint="eastAsia"/>
                <w:color w:val="auto"/>
              </w:rPr>
              <w:t>铁桥屯</w:t>
            </w:r>
            <w:r>
              <w:rPr>
                <w:rFonts w:hint="eastAsia" w:ascii="宋体" w:hAnsi="宋体"/>
                <w:color w:val="auto"/>
              </w:rPr>
              <w:t>，位于项目主导风向侧风向，项目产生的废气主要为颗粒物，</w:t>
            </w:r>
            <w:r>
              <w:rPr>
                <w:rFonts w:ascii="宋体" w:hAnsi="宋体"/>
                <w:color w:val="auto"/>
              </w:rPr>
              <w:t>本项目</w:t>
            </w:r>
            <w:r>
              <w:rPr>
                <w:rFonts w:hint="eastAsia" w:ascii="宋体" w:hAnsi="宋体"/>
                <w:color w:val="auto"/>
              </w:rPr>
              <w:t>废气达标排放</w:t>
            </w:r>
            <w:r>
              <w:rPr>
                <w:rFonts w:ascii="宋体" w:hAnsi="宋体"/>
                <w:color w:val="auto"/>
              </w:rPr>
              <w:t>，不会对周边环境产生较大的影响。</w:t>
            </w:r>
          </w:p>
          <w:p w14:paraId="4BFC089C">
            <w:pPr>
              <w:pStyle w:val="8"/>
              <w:adjustRightInd w:val="0"/>
              <w:snapToGrid w:val="0"/>
              <w:spacing w:line="360" w:lineRule="auto"/>
              <w:jc w:val="both"/>
              <w:rPr>
                <w:rFonts w:ascii="Times New Roman" w:hAnsi="Times New Roman" w:cs="Times New Roman"/>
                <w:color w:val="auto"/>
                <w:sz w:val="21"/>
                <w:szCs w:val="21"/>
              </w:rPr>
            </w:pPr>
            <w:r>
              <w:rPr>
                <w:rFonts w:hint="eastAsia" w:ascii="Times New Roman" w:hAnsi="Times New Roman" w:cs="Times New Roman"/>
                <w:color w:val="auto"/>
                <w:sz w:val="21"/>
                <w:szCs w:val="21"/>
              </w:rPr>
              <w:t>2.4</w:t>
            </w:r>
            <w:r>
              <w:rPr>
                <w:rFonts w:hint="eastAsia" w:cs="Times New Roman"/>
                <w:color w:val="auto"/>
                <w:sz w:val="21"/>
                <w:szCs w:val="21"/>
              </w:rPr>
              <w:t>废气自行监测要求</w:t>
            </w:r>
          </w:p>
          <w:p w14:paraId="533501B0">
            <w:pPr>
              <w:adjustRightInd w:val="0"/>
              <w:snapToGrid w:val="0"/>
              <w:spacing w:line="360" w:lineRule="auto"/>
              <w:ind w:firstLine="420" w:firstLineChars="200"/>
              <w:rPr>
                <w:color w:val="auto"/>
              </w:rPr>
            </w:pPr>
            <w:r>
              <w:rPr>
                <w:color w:val="auto"/>
              </w:rPr>
              <w:t>根据《排污许可证申请与核发技术规范 总则》，本项目废气监测方案，具体如下：</w:t>
            </w:r>
          </w:p>
          <w:p w14:paraId="11F99FC4">
            <w:pPr>
              <w:adjustRightInd w:val="0"/>
              <w:snapToGrid w:val="0"/>
              <w:ind w:firstLine="420" w:firstLineChars="200"/>
              <w:jc w:val="center"/>
              <w:rPr>
                <w:bCs/>
                <w:color w:val="auto"/>
              </w:rPr>
            </w:pPr>
            <w:r>
              <w:rPr>
                <w:bCs/>
                <w:color w:val="auto"/>
                <w:kern w:val="2"/>
                <w:lang w:val="zh-CN"/>
              </w:rPr>
              <w:t>环境空气质量现状监测点位布设情况</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52"/>
              <w:gridCol w:w="2905"/>
              <w:gridCol w:w="1552"/>
            </w:tblGrid>
            <w:tr w14:paraId="509B4B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45" w:type="pct"/>
                  <w:noWrap/>
                  <w:vAlign w:val="center"/>
                </w:tcPr>
                <w:p w14:paraId="471B5D21">
                  <w:pPr>
                    <w:pStyle w:val="100"/>
                    <w:widowControl w:val="0"/>
                    <w:autoSpaceDE w:val="0"/>
                    <w:autoSpaceDN w:val="0"/>
                    <w:adjustRightInd w:val="0"/>
                    <w:spacing w:line="240" w:lineRule="auto"/>
                    <w:rPr>
                      <w:rFonts w:hint="default" w:ascii="Times New Roman"/>
                      <w:color w:val="auto"/>
                      <w:kern w:val="2"/>
                      <w:sz w:val="18"/>
                      <w:szCs w:val="18"/>
                    </w:rPr>
                  </w:pPr>
                  <w:r>
                    <w:rPr>
                      <w:rFonts w:hint="default" w:ascii="Times New Roman"/>
                      <w:color w:val="auto"/>
                      <w:sz w:val="18"/>
                      <w:szCs w:val="18"/>
                    </w:rPr>
                    <w:t>监测点位</w:t>
                  </w:r>
                </w:p>
              </w:tc>
              <w:tc>
                <w:tcPr>
                  <w:tcW w:w="1859" w:type="pct"/>
                  <w:noWrap/>
                  <w:vAlign w:val="center"/>
                </w:tcPr>
                <w:p w14:paraId="4DC57F5E">
                  <w:pPr>
                    <w:pStyle w:val="100"/>
                    <w:widowControl w:val="0"/>
                    <w:autoSpaceDE w:val="0"/>
                    <w:autoSpaceDN w:val="0"/>
                    <w:adjustRightInd w:val="0"/>
                    <w:spacing w:line="240" w:lineRule="auto"/>
                    <w:rPr>
                      <w:rFonts w:hint="default" w:ascii="Times New Roman"/>
                      <w:color w:val="auto"/>
                      <w:kern w:val="2"/>
                      <w:sz w:val="18"/>
                      <w:szCs w:val="18"/>
                    </w:rPr>
                  </w:pPr>
                  <w:r>
                    <w:rPr>
                      <w:rFonts w:hint="default" w:ascii="Times New Roman"/>
                      <w:color w:val="auto"/>
                      <w:sz w:val="18"/>
                      <w:szCs w:val="18"/>
                    </w:rPr>
                    <w:t>监测项目</w:t>
                  </w:r>
                </w:p>
              </w:tc>
              <w:tc>
                <w:tcPr>
                  <w:tcW w:w="994" w:type="pct"/>
                  <w:noWrap/>
                  <w:vAlign w:val="center"/>
                </w:tcPr>
                <w:p w14:paraId="6B0B2484">
                  <w:pPr>
                    <w:pStyle w:val="100"/>
                    <w:widowControl w:val="0"/>
                    <w:autoSpaceDE w:val="0"/>
                    <w:autoSpaceDN w:val="0"/>
                    <w:adjustRightInd w:val="0"/>
                    <w:spacing w:line="240" w:lineRule="auto"/>
                    <w:rPr>
                      <w:rFonts w:hint="default" w:ascii="Times New Roman"/>
                      <w:color w:val="auto"/>
                      <w:kern w:val="2"/>
                      <w:sz w:val="18"/>
                      <w:szCs w:val="18"/>
                    </w:rPr>
                  </w:pPr>
                  <w:r>
                    <w:rPr>
                      <w:rFonts w:hint="default" w:ascii="Times New Roman"/>
                      <w:color w:val="auto"/>
                      <w:sz w:val="18"/>
                      <w:szCs w:val="18"/>
                    </w:rPr>
                    <w:t>监测频次</w:t>
                  </w:r>
                </w:p>
              </w:tc>
            </w:tr>
            <w:tr w14:paraId="3EC60A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45" w:type="pct"/>
                  <w:noWrap/>
                  <w:vAlign w:val="center"/>
                </w:tcPr>
                <w:p w14:paraId="35D2A425">
                  <w:pPr>
                    <w:pStyle w:val="100"/>
                    <w:widowControl w:val="0"/>
                    <w:autoSpaceDE w:val="0"/>
                    <w:autoSpaceDN w:val="0"/>
                    <w:adjustRightInd w:val="0"/>
                    <w:spacing w:line="240" w:lineRule="auto"/>
                    <w:rPr>
                      <w:rFonts w:hint="default" w:ascii="Times New Roman"/>
                      <w:color w:val="auto"/>
                      <w:sz w:val="18"/>
                      <w:szCs w:val="18"/>
                    </w:rPr>
                  </w:pPr>
                  <w:r>
                    <w:rPr>
                      <w:rFonts w:hint="default" w:ascii="Times New Roman"/>
                      <w:color w:val="auto"/>
                      <w:sz w:val="18"/>
                      <w:szCs w:val="18"/>
                    </w:rPr>
                    <w:t>厂界</w:t>
                  </w:r>
                </w:p>
              </w:tc>
              <w:tc>
                <w:tcPr>
                  <w:tcW w:w="1859" w:type="pct"/>
                  <w:noWrap/>
                  <w:vAlign w:val="center"/>
                </w:tcPr>
                <w:p w14:paraId="59BD3FC0">
                  <w:pPr>
                    <w:pStyle w:val="100"/>
                    <w:widowControl w:val="0"/>
                    <w:autoSpaceDE w:val="0"/>
                    <w:autoSpaceDN w:val="0"/>
                    <w:adjustRightInd w:val="0"/>
                    <w:spacing w:line="240" w:lineRule="auto"/>
                    <w:rPr>
                      <w:rFonts w:hint="default" w:ascii="Times New Roman"/>
                      <w:color w:val="auto"/>
                      <w:sz w:val="18"/>
                      <w:szCs w:val="18"/>
                    </w:rPr>
                  </w:pPr>
                  <w:r>
                    <w:rPr>
                      <w:rFonts w:ascii="Times New Roman"/>
                      <w:color w:val="auto"/>
                      <w:sz w:val="18"/>
                      <w:szCs w:val="18"/>
                    </w:rPr>
                    <w:t>颗粒物</w:t>
                  </w:r>
                </w:p>
              </w:tc>
              <w:tc>
                <w:tcPr>
                  <w:tcW w:w="994" w:type="pct"/>
                  <w:noWrap/>
                  <w:vAlign w:val="center"/>
                </w:tcPr>
                <w:p w14:paraId="3A31E9ED">
                  <w:pPr>
                    <w:jc w:val="center"/>
                    <w:rPr>
                      <w:color w:val="auto"/>
                      <w:sz w:val="18"/>
                      <w:szCs w:val="18"/>
                    </w:rPr>
                  </w:pPr>
                  <w:r>
                    <w:rPr>
                      <w:color w:val="auto"/>
                      <w:sz w:val="18"/>
                      <w:szCs w:val="18"/>
                    </w:rPr>
                    <w:t>1次/年</w:t>
                  </w:r>
                </w:p>
              </w:tc>
            </w:tr>
            <w:tr w14:paraId="756714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45" w:type="pct"/>
                  <w:noWrap/>
                  <w:vAlign w:val="center"/>
                </w:tcPr>
                <w:p w14:paraId="3A57CFA2">
                  <w:pPr>
                    <w:pStyle w:val="100"/>
                    <w:widowControl w:val="0"/>
                    <w:autoSpaceDE w:val="0"/>
                    <w:autoSpaceDN w:val="0"/>
                    <w:adjustRightInd w:val="0"/>
                    <w:spacing w:line="240" w:lineRule="auto"/>
                    <w:rPr>
                      <w:rFonts w:hint="default" w:ascii="Times New Roman"/>
                      <w:color w:val="auto"/>
                      <w:sz w:val="18"/>
                      <w:szCs w:val="18"/>
                    </w:rPr>
                  </w:pPr>
                  <w:r>
                    <w:rPr>
                      <w:rFonts w:ascii="Times New Roman"/>
                      <w:color w:val="auto"/>
                      <w:sz w:val="18"/>
                      <w:szCs w:val="18"/>
                    </w:rPr>
                    <w:t>排气筒（DA001）</w:t>
                  </w:r>
                </w:p>
              </w:tc>
              <w:tc>
                <w:tcPr>
                  <w:tcW w:w="1859" w:type="pct"/>
                  <w:noWrap/>
                  <w:vAlign w:val="center"/>
                </w:tcPr>
                <w:p w14:paraId="1AF7B2F6">
                  <w:pPr>
                    <w:pStyle w:val="100"/>
                    <w:widowControl w:val="0"/>
                    <w:autoSpaceDE w:val="0"/>
                    <w:autoSpaceDN w:val="0"/>
                    <w:adjustRightInd w:val="0"/>
                    <w:spacing w:line="240" w:lineRule="auto"/>
                    <w:rPr>
                      <w:rFonts w:hint="default" w:ascii="Times New Roman"/>
                      <w:color w:val="auto"/>
                      <w:sz w:val="18"/>
                      <w:szCs w:val="18"/>
                    </w:rPr>
                  </w:pPr>
                  <w:r>
                    <w:rPr>
                      <w:rFonts w:ascii="Times New Roman"/>
                      <w:color w:val="auto"/>
                      <w:sz w:val="18"/>
                      <w:szCs w:val="18"/>
                    </w:rPr>
                    <w:t>颗粒物</w:t>
                  </w:r>
                </w:p>
              </w:tc>
              <w:tc>
                <w:tcPr>
                  <w:tcW w:w="994" w:type="pct"/>
                  <w:noWrap/>
                  <w:vAlign w:val="center"/>
                </w:tcPr>
                <w:p w14:paraId="3AB64327">
                  <w:pPr>
                    <w:jc w:val="center"/>
                    <w:rPr>
                      <w:color w:val="auto"/>
                      <w:sz w:val="18"/>
                      <w:szCs w:val="18"/>
                    </w:rPr>
                  </w:pPr>
                  <w:r>
                    <w:rPr>
                      <w:color w:val="auto"/>
                      <w:sz w:val="18"/>
                      <w:szCs w:val="18"/>
                    </w:rPr>
                    <w:t>1次/年</w:t>
                  </w:r>
                </w:p>
              </w:tc>
            </w:tr>
          </w:tbl>
          <w:p w14:paraId="25C5C15A">
            <w:pPr>
              <w:adjustRightInd w:val="0"/>
              <w:snapToGrid w:val="0"/>
              <w:spacing w:line="336" w:lineRule="auto"/>
              <w:rPr>
                <w:rFonts w:cs="宋体"/>
                <w:color w:val="auto"/>
                <w:sz w:val="10"/>
                <w:szCs w:val="10"/>
              </w:rPr>
            </w:pPr>
          </w:p>
          <w:p w14:paraId="5B5DC503">
            <w:pPr>
              <w:pStyle w:val="8"/>
              <w:adjustRightInd w:val="0"/>
              <w:snapToGrid w:val="0"/>
              <w:spacing w:line="336" w:lineRule="auto"/>
              <w:jc w:val="both"/>
              <w:rPr>
                <w:rFonts w:ascii="Times New Roman" w:hAnsi="Times New Roman" w:cs="Times New Roman"/>
                <w:color w:val="auto"/>
                <w:sz w:val="21"/>
                <w:szCs w:val="21"/>
              </w:rPr>
            </w:pPr>
            <w:r>
              <w:rPr>
                <w:rFonts w:hint="eastAsia" w:ascii="Times New Roman" w:cs="Times New Roman"/>
                <w:color w:val="auto"/>
                <w:sz w:val="21"/>
                <w:szCs w:val="21"/>
              </w:rPr>
              <w:t>3、噪声</w:t>
            </w:r>
          </w:p>
          <w:p w14:paraId="2FA55141">
            <w:pPr>
              <w:pStyle w:val="8"/>
              <w:adjustRightInd w:val="0"/>
              <w:snapToGrid w:val="0"/>
              <w:spacing w:line="336" w:lineRule="auto"/>
              <w:ind w:firstLine="420" w:firstLineChars="200"/>
              <w:jc w:val="both"/>
              <w:rPr>
                <w:rFonts w:ascii="Times New Roman" w:hAnsi="Times New Roman" w:cs="Times New Roman"/>
                <w:color w:val="auto"/>
                <w:sz w:val="21"/>
                <w:szCs w:val="21"/>
              </w:rPr>
            </w:pPr>
            <w:r>
              <w:rPr>
                <w:rFonts w:hint="eastAsia" w:ascii="Times New Roman" w:hAnsi="Times New Roman" w:cs="Times New Roman"/>
                <w:color w:val="auto"/>
                <w:sz w:val="21"/>
                <w:szCs w:val="21"/>
              </w:rPr>
              <w:t>（1）噪声源强核算及主要措施</w:t>
            </w:r>
          </w:p>
          <w:p w14:paraId="37A51093">
            <w:pPr>
              <w:adjustRightInd w:val="0"/>
              <w:snapToGrid w:val="0"/>
              <w:spacing w:line="360" w:lineRule="auto"/>
              <w:ind w:firstLine="420" w:firstLineChars="200"/>
              <w:rPr>
                <w:color w:val="auto"/>
              </w:rPr>
            </w:pPr>
            <w:r>
              <w:rPr>
                <w:color w:val="auto"/>
              </w:rPr>
              <w:t>本项目噪声主要来源于</w:t>
            </w:r>
            <w:r>
              <w:rPr>
                <w:rFonts w:hint="eastAsia"/>
                <w:color w:val="auto"/>
              </w:rPr>
              <w:t>颚式破碎机、锤式破碎机、上料机、滚笼筛等设备</w:t>
            </w:r>
            <w:r>
              <w:rPr>
                <w:color w:val="auto"/>
              </w:rPr>
              <w:t>生产过程中产生的噪声。所用设备噪声级为55-</w:t>
            </w:r>
            <w:r>
              <w:rPr>
                <w:rFonts w:hint="eastAsia"/>
                <w:color w:val="auto"/>
              </w:rPr>
              <w:t>95</w:t>
            </w:r>
            <w:r>
              <w:rPr>
                <w:color w:val="auto"/>
              </w:rPr>
              <w:t>dB(A)</w:t>
            </w:r>
            <w:r>
              <w:rPr>
                <w:rFonts w:ascii="Calibri" w:hAnsi="Calibri"/>
                <w:color w:val="auto"/>
              </w:rPr>
              <w:t>。本项目主要噪声设备噪声源强情况详见下表。</w:t>
            </w:r>
          </w:p>
          <w:p w14:paraId="1F4AE9B0">
            <w:pPr>
              <w:ind w:firstLine="420" w:firstLineChars="200"/>
              <w:jc w:val="center"/>
              <w:rPr>
                <w:i/>
                <w:iCs/>
                <w:color w:val="auto"/>
                <w:u w:val="single"/>
              </w:rPr>
            </w:pPr>
            <w:r>
              <w:rPr>
                <w:i/>
                <w:iCs/>
                <w:color w:val="auto"/>
                <w:u w:val="single"/>
              </w:rPr>
              <w:t>项目主要噪声设备噪声源强一览表</w:t>
            </w:r>
            <w:r>
              <w:rPr>
                <w:rFonts w:hint="eastAsia"/>
                <w:i/>
                <w:iCs/>
                <w:color w:val="auto"/>
                <w:u w:val="single"/>
              </w:rPr>
              <w:t>（室内）</w:t>
            </w:r>
          </w:p>
          <w:tbl>
            <w:tblPr>
              <w:tblStyle w:val="25"/>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1"/>
              <w:gridCol w:w="624"/>
              <w:gridCol w:w="622"/>
              <w:gridCol w:w="629"/>
              <w:gridCol w:w="393"/>
              <w:gridCol w:w="381"/>
              <w:gridCol w:w="482"/>
              <w:gridCol w:w="883"/>
              <w:gridCol w:w="765"/>
              <w:gridCol w:w="623"/>
              <w:gridCol w:w="745"/>
              <w:gridCol w:w="621"/>
              <w:gridCol w:w="518"/>
            </w:tblGrid>
            <w:tr w14:paraId="675D69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 w:hRule="atLeast"/>
              </w:trPr>
              <w:tc>
                <w:tcPr>
                  <w:tcW w:w="333" w:type="pct"/>
                  <w:vMerge w:val="restart"/>
                  <w:tcBorders>
                    <w:tl2br w:val="nil"/>
                    <w:tr2bl w:val="nil"/>
                  </w:tcBorders>
                  <w:vAlign w:val="center"/>
                </w:tcPr>
                <w:p w14:paraId="0B134401">
                  <w:pPr>
                    <w:adjustRightInd w:val="0"/>
                    <w:snapToGrid w:val="0"/>
                    <w:jc w:val="center"/>
                    <w:rPr>
                      <w:rFonts w:eastAsiaTheme="minorEastAsia"/>
                      <w:i/>
                      <w:iCs/>
                      <w:color w:val="auto"/>
                      <w:sz w:val="15"/>
                      <w:szCs w:val="15"/>
                      <w:u w:val="single"/>
                    </w:rPr>
                  </w:pPr>
                  <w:r>
                    <w:rPr>
                      <w:i/>
                      <w:iCs/>
                      <w:color w:val="auto"/>
                      <w:sz w:val="15"/>
                      <w:szCs w:val="15"/>
                      <w:u w:val="single"/>
                    </w:rPr>
                    <w:t>建筑物</w:t>
                  </w:r>
                </w:p>
              </w:tc>
              <w:tc>
                <w:tcPr>
                  <w:tcW w:w="399" w:type="pct"/>
                  <w:vMerge w:val="restart"/>
                  <w:tcBorders>
                    <w:tl2br w:val="nil"/>
                    <w:tr2bl w:val="nil"/>
                  </w:tcBorders>
                  <w:vAlign w:val="center"/>
                </w:tcPr>
                <w:p w14:paraId="338A7D6B">
                  <w:pPr>
                    <w:adjustRightInd w:val="0"/>
                    <w:snapToGrid w:val="0"/>
                    <w:jc w:val="center"/>
                    <w:rPr>
                      <w:rFonts w:eastAsiaTheme="minorEastAsia"/>
                      <w:i/>
                      <w:iCs/>
                      <w:color w:val="auto"/>
                      <w:sz w:val="15"/>
                      <w:szCs w:val="15"/>
                      <w:u w:val="single"/>
                    </w:rPr>
                  </w:pPr>
                  <w:r>
                    <w:rPr>
                      <w:i/>
                      <w:iCs/>
                      <w:color w:val="auto"/>
                      <w:sz w:val="15"/>
                      <w:szCs w:val="15"/>
                      <w:u w:val="single"/>
                    </w:rPr>
                    <w:t>声源名称</w:t>
                  </w:r>
                </w:p>
              </w:tc>
              <w:tc>
                <w:tcPr>
                  <w:tcW w:w="398" w:type="pct"/>
                  <w:vMerge w:val="restart"/>
                  <w:tcBorders>
                    <w:tl2br w:val="nil"/>
                    <w:tr2bl w:val="nil"/>
                  </w:tcBorders>
                  <w:vAlign w:val="center"/>
                </w:tcPr>
                <w:p w14:paraId="1A067E5F">
                  <w:pPr>
                    <w:adjustRightInd w:val="0"/>
                    <w:snapToGrid w:val="0"/>
                    <w:jc w:val="center"/>
                    <w:rPr>
                      <w:rFonts w:eastAsiaTheme="minorEastAsia"/>
                      <w:i/>
                      <w:iCs/>
                      <w:color w:val="auto"/>
                      <w:sz w:val="15"/>
                      <w:szCs w:val="15"/>
                      <w:u w:val="single"/>
                    </w:rPr>
                  </w:pPr>
                  <w:r>
                    <w:rPr>
                      <w:i/>
                      <w:iCs/>
                      <w:color w:val="auto"/>
                      <w:sz w:val="15"/>
                      <w:szCs w:val="15"/>
                      <w:u w:val="single"/>
                    </w:rPr>
                    <w:t>声功率级/dB（A）</w:t>
                  </w:r>
                </w:p>
              </w:tc>
              <w:tc>
                <w:tcPr>
                  <w:tcW w:w="402" w:type="pct"/>
                  <w:vMerge w:val="restart"/>
                  <w:tcBorders>
                    <w:tl2br w:val="nil"/>
                    <w:tr2bl w:val="nil"/>
                  </w:tcBorders>
                  <w:vAlign w:val="center"/>
                </w:tcPr>
                <w:p w14:paraId="7285B97D">
                  <w:pPr>
                    <w:adjustRightInd w:val="0"/>
                    <w:snapToGrid w:val="0"/>
                    <w:jc w:val="center"/>
                    <w:rPr>
                      <w:rFonts w:eastAsiaTheme="minorEastAsia"/>
                      <w:i/>
                      <w:iCs/>
                      <w:color w:val="auto"/>
                      <w:sz w:val="15"/>
                      <w:szCs w:val="15"/>
                      <w:u w:val="single"/>
                    </w:rPr>
                  </w:pPr>
                  <w:r>
                    <w:rPr>
                      <w:i/>
                      <w:iCs/>
                      <w:color w:val="auto"/>
                      <w:sz w:val="15"/>
                      <w:szCs w:val="15"/>
                      <w:u w:val="single"/>
                    </w:rPr>
                    <w:t>声源控制措施</w:t>
                  </w:r>
                </w:p>
              </w:tc>
              <w:tc>
                <w:tcPr>
                  <w:tcW w:w="804" w:type="pct"/>
                  <w:gridSpan w:val="3"/>
                  <w:vMerge w:val="restart"/>
                  <w:tcBorders>
                    <w:tl2br w:val="nil"/>
                    <w:tr2bl w:val="nil"/>
                  </w:tcBorders>
                  <w:vAlign w:val="center"/>
                </w:tcPr>
                <w:p w14:paraId="28634BD7">
                  <w:pPr>
                    <w:adjustRightInd w:val="0"/>
                    <w:snapToGrid w:val="0"/>
                    <w:jc w:val="center"/>
                    <w:rPr>
                      <w:i/>
                      <w:iCs/>
                      <w:color w:val="auto"/>
                      <w:sz w:val="15"/>
                      <w:szCs w:val="15"/>
                      <w:u w:val="single"/>
                    </w:rPr>
                  </w:pPr>
                  <w:r>
                    <w:rPr>
                      <w:rFonts w:hint="eastAsia"/>
                      <w:i/>
                      <w:iCs/>
                      <w:color w:val="auto"/>
                      <w:sz w:val="15"/>
                      <w:szCs w:val="15"/>
                      <w:u w:val="single"/>
                    </w:rPr>
                    <w:t>空间相对位置/m</w:t>
                  </w:r>
                </w:p>
              </w:tc>
              <w:tc>
                <w:tcPr>
                  <w:tcW w:w="564" w:type="pct"/>
                  <w:vMerge w:val="restart"/>
                  <w:tcBorders>
                    <w:tl2br w:val="nil"/>
                    <w:tr2bl w:val="nil"/>
                  </w:tcBorders>
                  <w:vAlign w:val="center"/>
                </w:tcPr>
                <w:p w14:paraId="55190E2A">
                  <w:pPr>
                    <w:adjustRightInd w:val="0"/>
                    <w:snapToGrid w:val="0"/>
                    <w:jc w:val="center"/>
                    <w:rPr>
                      <w:rFonts w:eastAsiaTheme="minorEastAsia"/>
                      <w:i/>
                      <w:iCs/>
                      <w:color w:val="auto"/>
                      <w:sz w:val="15"/>
                      <w:szCs w:val="15"/>
                      <w:u w:val="single"/>
                    </w:rPr>
                  </w:pPr>
                  <w:r>
                    <w:rPr>
                      <w:i/>
                      <w:iCs/>
                      <w:color w:val="auto"/>
                      <w:sz w:val="15"/>
                      <w:szCs w:val="15"/>
                      <w:u w:val="single"/>
                    </w:rPr>
                    <w:t>距室内边界距离/m</w:t>
                  </w:r>
                </w:p>
              </w:tc>
              <w:tc>
                <w:tcPr>
                  <w:tcW w:w="489" w:type="pct"/>
                  <w:vMerge w:val="restart"/>
                  <w:tcBorders>
                    <w:tl2br w:val="nil"/>
                    <w:tr2bl w:val="nil"/>
                  </w:tcBorders>
                  <w:vAlign w:val="center"/>
                </w:tcPr>
                <w:p w14:paraId="67C12021">
                  <w:pPr>
                    <w:adjustRightInd w:val="0"/>
                    <w:snapToGrid w:val="0"/>
                    <w:jc w:val="center"/>
                    <w:rPr>
                      <w:rFonts w:eastAsiaTheme="minorEastAsia"/>
                      <w:i/>
                      <w:iCs/>
                      <w:color w:val="auto"/>
                      <w:sz w:val="15"/>
                      <w:szCs w:val="15"/>
                      <w:u w:val="single"/>
                    </w:rPr>
                  </w:pPr>
                  <w:r>
                    <w:rPr>
                      <w:i/>
                      <w:iCs/>
                      <w:color w:val="auto"/>
                      <w:sz w:val="15"/>
                      <w:szCs w:val="15"/>
                      <w:u w:val="single"/>
                    </w:rPr>
                    <w:t>室内边界声级/dB(A)</w:t>
                  </w:r>
                </w:p>
              </w:tc>
              <w:tc>
                <w:tcPr>
                  <w:tcW w:w="399" w:type="pct"/>
                  <w:vMerge w:val="restart"/>
                  <w:tcBorders>
                    <w:tl2br w:val="nil"/>
                    <w:tr2bl w:val="nil"/>
                  </w:tcBorders>
                  <w:vAlign w:val="center"/>
                </w:tcPr>
                <w:p w14:paraId="6126B04A">
                  <w:pPr>
                    <w:adjustRightInd w:val="0"/>
                    <w:snapToGrid w:val="0"/>
                    <w:jc w:val="center"/>
                    <w:rPr>
                      <w:i/>
                      <w:iCs/>
                      <w:color w:val="auto"/>
                      <w:sz w:val="15"/>
                      <w:szCs w:val="15"/>
                      <w:u w:val="single"/>
                    </w:rPr>
                  </w:pPr>
                  <w:r>
                    <w:rPr>
                      <w:i/>
                      <w:iCs/>
                      <w:color w:val="auto"/>
                      <w:sz w:val="15"/>
                      <w:szCs w:val="15"/>
                      <w:u w:val="single"/>
                    </w:rPr>
                    <w:t>运行</w:t>
                  </w:r>
                </w:p>
                <w:p w14:paraId="1809FBEC">
                  <w:pPr>
                    <w:adjustRightInd w:val="0"/>
                    <w:snapToGrid w:val="0"/>
                    <w:jc w:val="center"/>
                    <w:rPr>
                      <w:rFonts w:eastAsiaTheme="minorEastAsia"/>
                      <w:i/>
                      <w:iCs/>
                      <w:color w:val="auto"/>
                      <w:sz w:val="15"/>
                      <w:szCs w:val="15"/>
                      <w:u w:val="single"/>
                    </w:rPr>
                  </w:pPr>
                  <w:r>
                    <w:rPr>
                      <w:i/>
                      <w:iCs/>
                      <w:color w:val="auto"/>
                      <w:sz w:val="15"/>
                      <w:szCs w:val="15"/>
                      <w:u w:val="single"/>
                    </w:rPr>
                    <w:t>时段</w:t>
                  </w:r>
                </w:p>
              </w:tc>
              <w:tc>
                <w:tcPr>
                  <w:tcW w:w="476" w:type="pct"/>
                  <w:vMerge w:val="restart"/>
                  <w:tcBorders>
                    <w:tl2br w:val="nil"/>
                    <w:tr2bl w:val="nil"/>
                  </w:tcBorders>
                  <w:vAlign w:val="center"/>
                </w:tcPr>
                <w:p w14:paraId="26ED98EC">
                  <w:pPr>
                    <w:adjustRightInd w:val="0"/>
                    <w:snapToGrid w:val="0"/>
                    <w:jc w:val="center"/>
                    <w:rPr>
                      <w:rFonts w:eastAsiaTheme="minorEastAsia"/>
                      <w:i/>
                      <w:iCs/>
                      <w:color w:val="auto"/>
                      <w:sz w:val="15"/>
                      <w:szCs w:val="15"/>
                      <w:u w:val="single"/>
                    </w:rPr>
                  </w:pPr>
                  <w:r>
                    <w:rPr>
                      <w:i/>
                      <w:iCs/>
                      <w:color w:val="auto"/>
                      <w:sz w:val="15"/>
                      <w:szCs w:val="15"/>
                      <w:u w:val="single"/>
                    </w:rPr>
                    <w:t>建筑物插入损失/dB（A）</w:t>
                  </w:r>
                </w:p>
              </w:tc>
              <w:tc>
                <w:tcPr>
                  <w:tcW w:w="730" w:type="pct"/>
                  <w:gridSpan w:val="2"/>
                  <w:tcBorders>
                    <w:tl2br w:val="nil"/>
                    <w:tr2bl w:val="nil"/>
                  </w:tcBorders>
                  <w:vAlign w:val="center"/>
                </w:tcPr>
                <w:p w14:paraId="439C3379">
                  <w:pPr>
                    <w:adjustRightInd w:val="0"/>
                    <w:snapToGrid w:val="0"/>
                    <w:jc w:val="center"/>
                    <w:rPr>
                      <w:rFonts w:eastAsiaTheme="minorEastAsia"/>
                      <w:i/>
                      <w:iCs/>
                      <w:color w:val="auto"/>
                      <w:sz w:val="15"/>
                      <w:szCs w:val="15"/>
                      <w:u w:val="single"/>
                    </w:rPr>
                  </w:pPr>
                  <w:r>
                    <w:rPr>
                      <w:rFonts w:hint="eastAsia"/>
                      <w:i/>
                      <w:iCs/>
                      <w:color w:val="auto"/>
                      <w:sz w:val="15"/>
                      <w:szCs w:val="15"/>
                      <w:u w:val="single"/>
                    </w:rPr>
                    <w:t>建筑物外噪声</w:t>
                  </w:r>
                </w:p>
              </w:tc>
            </w:tr>
            <w:tr w14:paraId="0D6197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33" w:type="pct"/>
                  <w:vMerge w:val="continue"/>
                  <w:tcBorders>
                    <w:tl2br w:val="nil"/>
                    <w:tr2bl w:val="nil"/>
                  </w:tcBorders>
                  <w:vAlign w:val="center"/>
                </w:tcPr>
                <w:p w14:paraId="25FC7A10">
                  <w:pPr>
                    <w:adjustRightInd w:val="0"/>
                    <w:snapToGrid w:val="0"/>
                    <w:jc w:val="center"/>
                    <w:rPr>
                      <w:i/>
                      <w:iCs/>
                      <w:color w:val="auto"/>
                      <w:sz w:val="15"/>
                      <w:szCs w:val="15"/>
                      <w:u w:val="single"/>
                    </w:rPr>
                  </w:pPr>
                </w:p>
              </w:tc>
              <w:tc>
                <w:tcPr>
                  <w:tcW w:w="399" w:type="pct"/>
                  <w:vMerge w:val="continue"/>
                  <w:tcBorders>
                    <w:tl2br w:val="nil"/>
                    <w:tr2bl w:val="nil"/>
                  </w:tcBorders>
                  <w:vAlign w:val="center"/>
                </w:tcPr>
                <w:p w14:paraId="2BC21DE7">
                  <w:pPr>
                    <w:adjustRightInd w:val="0"/>
                    <w:snapToGrid w:val="0"/>
                    <w:jc w:val="center"/>
                    <w:rPr>
                      <w:i/>
                      <w:iCs/>
                      <w:color w:val="auto"/>
                      <w:sz w:val="15"/>
                      <w:szCs w:val="15"/>
                      <w:u w:val="single"/>
                    </w:rPr>
                  </w:pPr>
                </w:p>
              </w:tc>
              <w:tc>
                <w:tcPr>
                  <w:tcW w:w="398" w:type="pct"/>
                  <w:vMerge w:val="continue"/>
                  <w:tcBorders>
                    <w:tl2br w:val="nil"/>
                    <w:tr2bl w:val="nil"/>
                  </w:tcBorders>
                  <w:vAlign w:val="center"/>
                </w:tcPr>
                <w:p w14:paraId="72E96386">
                  <w:pPr>
                    <w:adjustRightInd w:val="0"/>
                    <w:snapToGrid w:val="0"/>
                    <w:jc w:val="center"/>
                    <w:rPr>
                      <w:i/>
                      <w:iCs/>
                      <w:color w:val="auto"/>
                      <w:sz w:val="15"/>
                      <w:szCs w:val="15"/>
                      <w:u w:val="single"/>
                    </w:rPr>
                  </w:pPr>
                </w:p>
              </w:tc>
              <w:tc>
                <w:tcPr>
                  <w:tcW w:w="402" w:type="pct"/>
                  <w:vMerge w:val="continue"/>
                  <w:tcBorders>
                    <w:tl2br w:val="nil"/>
                    <w:tr2bl w:val="nil"/>
                  </w:tcBorders>
                  <w:vAlign w:val="center"/>
                </w:tcPr>
                <w:p w14:paraId="057B2D20">
                  <w:pPr>
                    <w:adjustRightInd w:val="0"/>
                    <w:snapToGrid w:val="0"/>
                    <w:jc w:val="center"/>
                    <w:rPr>
                      <w:i/>
                      <w:iCs/>
                      <w:color w:val="auto"/>
                      <w:sz w:val="15"/>
                      <w:szCs w:val="15"/>
                      <w:u w:val="single"/>
                    </w:rPr>
                  </w:pPr>
                </w:p>
              </w:tc>
              <w:tc>
                <w:tcPr>
                  <w:tcW w:w="804" w:type="pct"/>
                  <w:gridSpan w:val="3"/>
                  <w:vMerge w:val="continue"/>
                  <w:tcBorders>
                    <w:tl2br w:val="nil"/>
                    <w:tr2bl w:val="nil"/>
                  </w:tcBorders>
                  <w:vAlign w:val="center"/>
                </w:tcPr>
                <w:p w14:paraId="1D2EED9B">
                  <w:pPr>
                    <w:adjustRightInd w:val="0"/>
                    <w:snapToGrid w:val="0"/>
                    <w:jc w:val="center"/>
                    <w:rPr>
                      <w:i/>
                      <w:iCs/>
                      <w:color w:val="auto"/>
                      <w:sz w:val="15"/>
                      <w:szCs w:val="15"/>
                      <w:u w:val="single"/>
                    </w:rPr>
                  </w:pPr>
                </w:p>
              </w:tc>
              <w:tc>
                <w:tcPr>
                  <w:tcW w:w="564" w:type="pct"/>
                  <w:vMerge w:val="continue"/>
                  <w:tcBorders>
                    <w:tl2br w:val="nil"/>
                    <w:tr2bl w:val="nil"/>
                  </w:tcBorders>
                  <w:vAlign w:val="center"/>
                </w:tcPr>
                <w:p w14:paraId="3346025E">
                  <w:pPr>
                    <w:adjustRightInd w:val="0"/>
                    <w:snapToGrid w:val="0"/>
                    <w:jc w:val="center"/>
                    <w:rPr>
                      <w:i/>
                      <w:iCs/>
                      <w:color w:val="auto"/>
                      <w:sz w:val="15"/>
                      <w:szCs w:val="15"/>
                      <w:u w:val="single"/>
                    </w:rPr>
                  </w:pPr>
                </w:p>
              </w:tc>
              <w:tc>
                <w:tcPr>
                  <w:tcW w:w="489" w:type="pct"/>
                  <w:vMerge w:val="continue"/>
                  <w:tcBorders>
                    <w:tl2br w:val="nil"/>
                    <w:tr2bl w:val="nil"/>
                  </w:tcBorders>
                  <w:vAlign w:val="center"/>
                </w:tcPr>
                <w:p w14:paraId="1504B6CB">
                  <w:pPr>
                    <w:adjustRightInd w:val="0"/>
                    <w:snapToGrid w:val="0"/>
                    <w:jc w:val="center"/>
                    <w:rPr>
                      <w:i/>
                      <w:iCs/>
                      <w:color w:val="auto"/>
                      <w:sz w:val="15"/>
                      <w:szCs w:val="15"/>
                      <w:u w:val="single"/>
                    </w:rPr>
                  </w:pPr>
                </w:p>
              </w:tc>
              <w:tc>
                <w:tcPr>
                  <w:tcW w:w="399" w:type="pct"/>
                  <w:vMerge w:val="continue"/>
                  <w:tcBorders>
                    <w:tl2br w:val="nil"/>
                    <w:tr2bl w:val="nil"/>
                  </w:tcBorders>
                  <w:vAlign w:val="center"/>
                </w:tcPr>
                <w:p w14:paraId="3EAE4445">
                  <w:pPr>
                    <w:adjustRightInd w:val="0"/>
                    <w:snapToGrid w:val="0"/>
                    <w:jc w:val="center"/>
                    <w:rPr>
                      <w:i/>
                      <w:iCs/>
                      <w:color w:val="auto"/>
                      <w:sz w:val="15"/>
                      <w:szCs w:val="15"/>
                      <w:u w:val="single"/>
                    </w:rPr>
                  </w:pPr>
                </w:p>
              </w:tc>
              <w:tc>
                <w:tcPr>
                  <w:tcW w:w="476" w:type="pct"/>
                  <w:vMerge w:val="continue"/>
                  <w:tcBorders>
                    <w:tl2br w:val="nil"/>
                    <w:tr2bl w:val="nil"/>
                  </w:tcBorders>
                  <w:vAlign w:val="center"/>
                </w:tcPr>
                <w:p w14:paraId="48A03656">
                  <w:pPr>
                    <w:adjustRightInd w:val="0"/>
                    <w:snapToGrid w:val="0"/>
                    <w:jc w:val="center"/>
                    <w:rPr>
                      <w:i/>
                      <w:iCs/>
                      <w:color w:val="auto"/>
                      <w:sz w:val="15"/>
                      <w:szCs w:val="15"/>
                      <w:u w:val="single"/>
                    </w:rPr>
                  </w:pPr>
                </w:p>
              </w:tc>
              <w:tc>
                <w:tcPr>
                  <w:tcW w:w="398" w:type="pct"/>
                  <w:vMerge w:val="restart"/>
                  <w:tcBorders>
                    <w:tl2br w:val="nil"/>
                    <w:tr2bl w:val="nil"/>
                  </w:tcBorders>
                  <w:vAlign w:val="center"/>
                </w:tcPr>
                <w:p w14:paraId="361B50CE">
                  <w:pPr>
                    <w:adjustRightInd w:val="0"/>
                    <w:snapToGrid w:val="0"/>
                    <w:jc w:val="center"/>
                    <w:rPr>
                      <w:rFonts w:eastAsiaTheme="minorEastAsia"/>
                      <w:i/>
                      <w:iCs/>
                      <w:color w:val="auto"/>
                      <w:sz w:val="15"/>
                      <w:szCs w:val="15"/>
                      <w:u w:val="single"/>
                    </w:rPr>
                  </w:pPr>
                  <w:r>
                    <w:rPr>
                      <w:i/>
                      <w:iCs/>
                      <w:color w:val="auto"/>
                      <w:sz w:val="15"/>
                      <w:szCs w:val="15"/>
                      <w:u w:val="single"/>
                    </w:rPr>
                    <w:t>声压级/dB（A）</w:t>
                  </w:r>
                </w:p>
              </w:tc>
              <w:tc>
                <w:tcPr>
                  <w:tcW w:w="332" w:type="pct"/>
                  <w:vMerge w:val="restart"/>
                  <w:tcBorders>
                    <w:tl2br w:val="nil"/>
                    <w:tr2bl w:val="nil"/>
                  </w:tcBorders>
                  <w:vAlign w:val="center"/>
                </w:tcPr>
                <w:p w14:paraId="5BC537DD">
                  <w:pPr>
                    <w:adjustRightInd w:val="0"/>
                    <w:snapToGrid w:val="0"/>
                    <w:jc w:val="center"/>
                    <w:rPr>
                      <w:rFonts w:eastAsiaTheme="minorEastAsia"/>
                      <w:i/>
                      <w:iCs/>
                      <w:color w:val="auto"/>
                      <w:sz w:val="15"/>
                      <w:szCs w:val="15"/>
                      <w:u w:val="single"/>
                    </w:rPr>
                  </w:pPr>
                  <w:r>
                    <w:rPr>
                      <w:i/>
                      <w:iCs/>
                      <w:color w:val="auto"/>
                      <w:sz w:val="15"/>
                      <w:szCs w:val="15"/>
                      <w:u w:val="single"/>
                    </w:rPr>
                    <w:t>建筑物外距离</w:t>
                  </w:r>
                </w:p>
              </w:tc>
            </w:tr>
            <w:tr w14:paraId="65445C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333" w:type="pct"/>
                  <w:vMerge w:val="continue"/>
                  <w:tcBorders>
                    <w:tl2br w:val="nil"/>
                    <w:tr2bl w:val="nil"/>
                  </w:tcBorders>
                  <w:vAlign w:val="center"/>
                </w:tcPr>
                <w:p w14:paraId="53A23CAB">
                  <w:pPr>
                    <w:adjustRightInd w:val="0"/>
                    <w:snapToGrid w:val="0"/>
                    <w:jc w:val="center"/>
                    <w:rPr>
                      <w:i/>
                      <w:iCs/>
                      <w:color w:val="auto"/>
                      <w:sz w:val="15"/>
                      <w:szCs w:val="15"/>
                      <w:u w:val="single"/>
                    </w:rPr>
                  </w:pPr>
                </w:p>
              </w:tc>
              <w:tc>
                <w:tcPr>
                  <w:tcW w:w="399" w:type="pct"/>
                  <w:vMerge w:val="continue"/>
                  <w:tcBorders>
                    <w:tl2br w:val="nil"/>
                    <w:tr2bl w:val="nil"/>
                  </w:tcBorders>
                  <w:vAlign w:val="center"/>
                </w:tcPr>
                <w:p w14:paraId="2B92F8C6">
                  <w:pPr>
                    <w:adjustRightInd w:val="0"/>
                    <w:snapToGrid w:val="0"/>
                    <w:jc w:val="center"/>
                    <w:rPr>
                      <w:i/>
                      <w:iCs/>
                      <w:color w:val="auto"/>
                      <w:sz w:val="15"/>
                      <w:szCs w:val="15"/>
                      <w:u w:val="single"/>
                    </w:rPr>
                  </w:pPr>
                </w:p>
              </w:tc>
              <w:tc>
                <w:tcPr>
                  <w:tcW w:w="398" w:type="pct"/>
                  <w:vMerge w:val="continue"/>
                  <w:tcBorders>
                    <w:tl2br w:val="nil"/>
                    <w:tr2bl w:val="nil"/>
                  </w:tcBorders>
                  <w:vAlign w:val="center"/>
                </w:tcPr>
                <w:p w14:paraId="2C1DF234">
                  <w:pPr>
                    <w:adjustRightInd w:val="0"/>
                    <w:snapToGrid w:val="0"/>
                    <w:jc w:val="center"/>
                    <w:rPr>
                      <w:i/>
                      <w:iCs/>
                      <w:color w:val="auto"/>
                      <w:sz w:val="15"/>
                      <w:szCs w:val="15"/>
                      <w:u w:val="single"/>
                    </w:rPr>
                  </w:pPr>
                </w:p>
              </w:tc>
              <w:tc>
                <w:tcPr>
                  <w:tcW w:w="402" w:type="pct"/>
                  <w:vMerge w:val="continue"/>
                  <w:tcBorders>
                    <w:tl2br w:val="nil"/>
                    <w:tr2bl w:val="nil"/>
                  </w:tcBorders>
                  <w:vAlign w:val="center"/>
                </w:tcPr>
                <w:p w14:paraId="25FD09EA">
                  <w:pPr>
                    <w:adjustRightInd w:val="0"/>
                    <w:snapToGrid w:val="0"/>
                    <w:jc w:val="center"/>
                    <w:rPr>
                      <w:i/>
                      <w:iCs/>
                      <w:color w:val="auto"/>
                      <w:sz w:val="15"/>
                      <w:szCs w:val="15"/>
                      <w:u w:val="single"/>
                    </w:rPr>
                  </w:pPr>
                </w:p>
              </w:tc>
              <w:tc>
                <w:tcPr>
                  <w:tcW w:w="251" w:type="pct"/>
                  <w:tcBorders>
                    <w:tl2br w:val="nil"/>
                    <w:tr2bl w:val="nil"/>
                  </w:tcBorders>
                  <w:vAlign w:val="center"/>
                </w:tcPr>
                <w:p w14:paraId="69CD95A4">
                  <w:pPr>
                    <w:adjustRightInd w:val="0"/>
                    <w:snapToGrid w:val="0"/>
                    <w:jc w:val="center"/>
                    <w:rPr>
                      <w:i/>
                      <w:iCs/>
                      <w:color w:val="auto"/>
                      <w:sz w:val="15"/>
                      <w:szCs w:val="15"/>
                      <w:u w:val="single"/>
                    </w:rPr>
                  </w:pPr>
                  <w:r>
                    <w:rPr>
                      <w:rFonts w:hint="eastAsia"/>
                      <w:i/>
                      <w:iCs/>
                      <w:color w:val="auto"/>
                      <w:sz w:val="15"/>
                      <w:szCs w:val="15"/>
                      <w:u w:val="single"/>
                    </w:rPr>
                    <w:t>X</w:t>
                  </w:r>
                </w:p>
              </w:tc>
              <w:tc>
                <w:tcPr>
                  <w:tcW w:w="244" w:type="pct"/>
                  <w:tcBorders>
                    <w:tl2br w:val="nil"/>
                    <w:tr2bl w:val="nil"/>
                  </w:tcBorders>
                  <w:vAlign w:val="center"/>
                </w:tcPr>
                <w:p w14:paraId="1B687CC5">
                  <w:pPr>
                    <w:adjustRightInd w:val="0"/>
                    <w:snapToGrid w:val="0"/>
                    <w:jc w:val="center"/>
                    <w:rPr>
                      <w:i/>
                      <w:iCs/>
                      <w:color w:val="auto"/>
                      <w:sz w:val="15"/>
                      <w:szCs w:val="15"/>
                      <w:u w:val="single"/>
                    </w:rPr>
                  </w:pPr>
                  <w:r>
                    <w:rPr>
                      <w:rFonts w:hint="eastAsia"/>
                      <w:i/>
                      <w:iCs/>
                      <w:color w:val="auto"/>
                      <w:sz w:val="15"/>
                      <w:szCs w:val="15"/>
                      <w:u w:val="single"/>
                    </w:rPr>
                    <w:t>Y</w:t>
                  </w:r>
                </w:p>
              </w:tc>
              <w:tc>
                <w:tcPr>
                  <w:tcW w:w="309" w:type="pct"/>
                  <w:tcBorders>
                    <w:tl2br w:val="nil"/>
                    <w:tr2bl w:val="nil"/>
                  </w:tcBorders>
                  <w:vAlign w:val="center"/>
                </w:tcPr>
                <w:p w14:paraId="21CBE5BD">
                  <w:pPr>
                    <w:adjustRightInd w:val="0"/>
                    <w:snapToGrid w:val="0"/>
                    <w:jc w:val="center"/>
                    <w:rPr>
                      <w:i/>
                      <w:iCs/>
                      <w:color w:val="auto"/>
                      <w:sz w:val="15"/>
                      <w:szCs w:val="15"/>
                      <w:u w:val="single"/>
                    </w:rPr>
                  </w:pPr>
                  <w:r>
                    <w:rPr>
                      <w:rFonts w:hint="eastAsia"/>
                      <w:i/>
                      <w:iCs/>
                      <w:color w:val="auto"/>
                      <w:sz w:val="15"/>
                      <w:szCs w:val="15"/>
                      <w:u w:val="single"/>
                    </w:rPr>
                    <w:t>Z</w:t>
                  </w:r>
                </w:p>
              </w:tc>
              <w:tc>
                <w:tcPr>
                  <w:tcW w:w="564" w:type="pct"/>
                  <w:vMerge w:val="continue"/>
                  <w:tcBorders>
                    <w:tl2br w:val="nil"/>
                    <w:tr2bl w:val="nil"/>
                  </w:tcBorders>
                  <w:vAlign w:val="center"/>
                </w:tcPr>
                <w:p w14:paraId="25A495D0">
                  <w:pPr>
                    <w:adjustRightInd w:val="0"/>
                    <w:snapToGrid w:val="0"/>
                    <w:jc w:val="center"/>
                    <w:rPr>
                      <w:i/>
                      <w:iCs/>
                      <w:color w:val="auto"/>
                      <w:sz w:val="15"/>
                      <w:szCs w:val="15"/>
                      <w:u w:val="single"/>
                    </w:rPr>
                  </w:pPr>
                </w:p>
              </w:tc>
              <w:tc>
                <w:tcPr>
                  <w:tcW w:w="489" w:type="pct"/>
                  <w:vMerge w:val="continue"/>
                  <w:tcBorders>
                    <w:tl2br w:val="nil"/>
                    <w:tr2bl w:val="nil"/>
                  </w:tcBorders>
                  <w:vAlign w:val="center"/>
                </w:tcPr>
                <w:p w14:paraId="31413933">
                  <w:pPr>
                    <w:adjustRightInd w:val="0"/>
                    <w:snapToGrid w:val="0"/>
                    <w:jc w:val="center"/>
                    <w:rPr>
                      <w:i/>
                      <w:iCs/>
                      <w:color w:val="auto"/>
                      <w:sz w:val="15"/>
                      <w:szCs w:val="15"/>
                      <w:u w:val="single"/>
                    </w:rPr>
                  </w:pPr>
                </w:p>
              </w:tc>
              <w:tc>
                <w:tcPr>
                  <w:tcW w:w="399" w:type="pct"/>
                  <w:vMerge w:val="continue"/>
                  <w:tcBorders>
                    <w:tl2br w:val="nil"/>
                    <w:tr2bl w:val="nil"/>
                  </w:tcBorders>
                  <w:vAlign w:val="center"/>
                </w:tcPr>
                <w:p w14:paraId="7F0F3126">
                  <w:pPr>
                    <w:adjustRightInd w:val="0"/>
                    <w:snapToGrid w:val="0"/>
                    <w:jc w:val="center"/>
                    <w:rPr>
                      <w:i/>
                      <w:iCs/>
                      <w:color w:val="auto"/>
                      <w:sz w:val="15"/>
                      <w:szCs w:val="15"/>
                      <w:u w:val="single"/>
                    </w:rPr>
                  </w:pPr>
                </w:p>
              </w:tc>
              <w:tc>
                <w:tcPr>
                  <w:tcW w:w="476" w:type="pct"/>
                  <w:vMerge w:val="continue"/>
                  <w:tcBorders>
                    <w:tl2br w:val="nil"/>
                    <w:tr2bl w:val="nil"/>
                  </w:tcBorders>
                  <w:vAlign w:val="center"/>
                </w:tcPr>
                <w:p w14:paraId="3859CFD9">
                  <w:pPr>
                    <w:adjustRightInd w:val="0"/>
                    <w:snapToGrid w:val="0"/>
                    <w:jc w:val="center"/>
                    <w:rPr>
                      <w:i/>
                      <w:iCs/>
                      <w:color w:val="auto"/>
                      <w:sz w:val="15"/>
                      <w:szCs w:val="15"/>
                      <w:u w:val="single"/>
                    </w:rPr>
                  </w:pPr>
                </w:p>
              </w:tc>
              <w:tc>
                <w:tcPr>
                  <w:tcW w:w="398" w:type="pct"/>
                  <w:vMerge w:val="continue"/>
                  <w:tcBorders>
                    <w:tl2br w:val="nil"/>
                    <w:tr2bl w:val="nil"/>
                  </w:tcBorders>
                  <w:vAlign w:val="center"/>
                </w:tcPr>
                <w:p w14:paraId="3EF6BBF9">
                  <w:pPr>
                    <w:adjustRightInd w:val="0"/>
                    <w:snapToGrid w:val="0"/>
                    <w:jc w:val="center"/>
                    <w:rPr>
                      <w:i/>
                      <w:iCs/>
                      <w:color w:val="auto"/>
                      <w:sz w:val="15"/>
                      <w:szCs w:val="15"/>
                      <w:u w:val="single"/>
                    </w:rPr>
                  </w:pPr>
                </w:p>
              </w:tc>
              <w:tc>
                <w:tcPr>
                  <w:tcW w:w="332" w:type="pct"/>
                  <w:vMerge w:val="continue"/>
                  <w:tcBorders>
                    <w:tl2br w:val="nil"/>
                    <w:tr2bl w:val="nil"/>
                  </w:tcBorders>
                  <w:vAlign w:val="center"/>
                </w:tcPr>
                <w:p w14:paraId="59C06BA3">
                  <w:pPr>
                    <w:adjustRightInd w:val="0"/>
                    <w:snapToGrid w:val="0"/>
                    <w:jc w:val="center"/>
                    <w:rPr>
                      <w:i/>
                      <w:iCs/>
                      <w:color w:val="auto"/>
                      <w:sz w:val="15"/>
                      <w:szCs w:val="15"/>
                      <w:u w:val="single"/>
                    </w:rPr>
                  </w:pPr>
                </w:p>
              </w:tc>
            </w:tr>
            <w:tr w14:paraId="1BEA9A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33" w:type="pct"/>
                  <w:vMerge w:val="restart"/>
                  <w:tcBorders>
                    <w:tl2br w:val="nil"/>
                    <w:tr2bl w:val="nil"/>
                  </w:tcBorders>
                  <w:vAlign w:val="center"/>
                </w:tcPr>
                <w:p w14:paraId="232332C3">
                  <w:pPr>
                    <w:adjustRightInd w:val="0"/>
                    <w:snapToGrid w:val="0"/>
                    <w:jc w:val="center"/>
                    <w:rPr>
                      <w:i/>
                      <w:iCs/>
                      <w:color w:val="auto"/>
                      <w:sz w:val="15"/>
                      <w:szCs w:val="15"/>
                      <w:u w:val="single"/>
                    </w:rPr>
                  </w:pPr>
                  <w:r>
                    <w:rPr>
                      <w:rFonts w:hint="eastAsia"/>
                      <w:i/>
                      <w:iCs/>
                      <w:color w:val="auto"/>
                      <w:sz w:val="15"/>
                      <w:szCs w:val="15"/>
                      <w:u w:val="single"/>
                    </w:rPr>
                    <w:t>厂房</w:t>
                  </w:r>
                </w:p>
                <w:p w14:paraId="6C5B0CF9">
                  <w:pPr>
                    <w:adjustRightInd w:val="0"/>
                    <w:snapToGrid w:val="0"/>
                    <w:jc w:val="center"/>
                    <w:rPr>
                      <w:i/>
                      <w:iCs/>
                      <w:color w:val="auto"/>
                      <w:sz w:val="15"/>
                      <w:szCs w:val="15"/>
                      <w:u w:val="single"/>
                    </w:rPr>
                  </w:pPr>
                  <w:r>
                    <w:rPr>
                      <w:rFonts w:hint="eastAsia"/>
                      <w:i/>
                      <w:iCs/>
                      <w:color w:val="auto"/>
                      <w:sz w:val="15"/>
                      <w:szCs w:val="15"/>
                      <w:u w:val="single"/>
                    </w:rPr>
                    <w:t>内</w:t>
                  </w:r>
                </w:p>
              </w:tc>
              <w:tc>
                <w:tcPr>
                  <w:tcW w:w="399" w:type="pct"/>
                  <w:vMerge w:val="restart"/>
                  <w:tcBorders>
                    <w:tl2br w:val="nil"/>
                    <w:tr2bl w:val="nil"/>
                  </w:tcBorders>
                  <w:shd w:val="clear" w:color="auto" w:fill="auto"/>
                  <w:vAlign w:val="center"/>
                </w:tcPr>
                <w:p w14:paraId="19C2DE12">
                  <w:pPr>
                    <w:pStyle w:val="38"/>
                    <w:adjustRightInd w:val="0"/>
                    <w:snapToGrid w:val="0"/>
                    <w:rPr>
                      <w:rFonts w:ascii="Times New Roman" w:hAnsi="Times New Roman" w:cs="Times New Roman"/>
                      <w:i/>
                      <w:iCs/>
                      <w:color w:val="auto"/>
                      <w:sz w:val="13"/>
                      <w:szCs w:val="13"/>
                      <w:u w:val="single"/>
                    </w:rPr>
                  </w:pPr>
                  <w:r>
                    <w:rPr>
                      <w:rFonts w:hint="eastAsia" w:ascii="Times New Roman" w:hAnsi="Times New Roman" w:cs="Times New Roman"/>
                      <w:i/>
                      <w:iCs/>
                      <w:color w:val="auto"/>
                      <w:sz w:val="13"/>
                      <w:szCs w:val="13"/>
                      <w:u w:val="single"/>
                    </w:rPr>
                    <w:t>颚式破碎机</w:t>
                  </w:r>
                </w:p>
                <w:p w14:paraId="7AF0E910">
                  <w:pPr>
                    <w:pStyle w:val="38"/>
                    <w:adjustRightInd w:val="0"/>
                    <w:snapToGrid w:val="0"/>
                    <w:rPr>
                      <w:rFonts w:ascii="Times New Roman" w:hAnsi="Times New Roman" w:cs="Times New Roman" w:eastAsiaTheme="minorEastAsia"/>
                      <w:i/>
                      <w:iCs/>
                      <w:color w:val="auto"/>
                      <w:kern w:val="2"/>
                      <w:sz w:val="15"/>
                      <w:szCs w:val="15"/>
                      <w:u w:val="single"/>
                    </w:rPr>
                  </w:pPr>
                </w:p>
              </w:tc>
              <w:tc>
                <w:tcPr>
                  <w:tcW w:w="398" w:type="pct"/>
                  <w:vMerge w:val="restart"/>
                  <w:tcBorders>
                    <w:tl2br w:val="nil"/>
                    <w:tr2bl w:val="nil"/>
                  </w:tcBorders>
                  <w:shd w:val="clear" w:color="auto" w:fill="auto"/>
                  <w:vAlign w:val="center"/>
                </w:tcPr>
                <w:p w14:paraId="5C3A8DB0">
                  <w:pPr>
                    <w:adjustRightInd w:val="0"/>
                    <w:snapToGrid w:val="0"/>
                    <w:jc w:val="center"/>
                    <w:rPr>
                      <w:i/>
                      <w:iCs/>
                      <w:color w:val="auto"/>
                      <w:sz w:val="13"/>
                      <w:szCs w:val="13"/>
                      <w:u w:val="single"/>
                    </w:rPr>
                  </w:pPr>
                  <w:r>
                    <w:rPr>
                      <w:rFonts w:hint="eastAsia"/>
                      <w:i/>
                      <w:iCs/>
                      <w:color w:val="auto"/>
                      <w:sz w:val="13"/>
                      <w:szCs w:val="13"/>
                      <w:u w:val="single"/>
                    </w:rPr>
                    <w:t>90</w:t>
                  </w:r>
                </w:p>
                <w:p w14:paraId="288D54DC">
                  <w:pPr>
                    <w:adjustRightInd w:val="0"/>
                    <w:snapToGrid w:val="0"/>
                    <w:jc w:val="center"/>
                    <w:rPr>
                      <w:rFonts w:eastAsiaTheme="minorEastAsia"/>
                      <w:i/>
                      <w:iCs/>
                      <w:color w:val="auto"/>
                      <w:sz w:val="15"/>
                      <w:szCs w:val="15"/>
                      <w:u w:val="single"/>
                    </w:rPr>
                  </w:pPr>
                </w:p>
              </w:tc>
              <w:tc>
                <w:tcPr>
                  <w:tcW w:w="402" w:type="pct"/>
                  <w:vMerge w:val="restart"/>
                  <w:tcBorders>
                    <w:tl2br w:val="nil"/>
                    <w:tr2bl w:val="nil"/>
                  </w:tcBorders>
                  <w:shd w:val="clear" w:color="auto" w:fill="auto"/>
                  <w:vAlign w:val="center"/>
                </w:tcPr>
                <w:p w14:paraId="43F09BE1">
                  <w:pPr>
                    <w:adjustRightInd w:val="0"/>
                    <w:snapToGrid w:val="0"/>
                    <w:jc w:val="center"/>
                    <w:rPr>
                      <w:rFonts w:eastAsiaTheme="minorEastAsia"/>
                      <w:i/>
                      <w:iCs/>
                      <w:color w:val="auto"/>
                      <w:sz w:val="15"/>
                      <w:szCs w:val="15"/>
                      <w:u w:val="single"/>
                    </w:rPr>
                  </w:pPr>
                  <w:r>
                    <w:rPr>
                      <w:rFonts w:hint="eastAsia"/>
                      <w:i/>
                      <w:iCs/>
                      <w:color w:val="auto"/>
                      <w:sz w:val="13"/>
                      <w:szCs w:val="13"/>
                      <w:u w:val="single"/>
                    </w:rPr>
                    <w:t>安装减振基座、建筑隔声</w:t>
                  </w:r>
                </w:p>
              </w:tc>
              <w:tc>
                <w:tcPr>
                  <w:tcW w:w="251" w:type="pct"/>
                  <w:vMerge w:val="restart"/>
                  <w:tcBorders>
                    <w:tl2br w:val="nil"/>
                    <w:tr2bl w:val="nil"/>
                  </w:tcBorders>
                  <w:shd w:val="clear" w:color="auto" w:fill="auto"/>
                  <w:vAlign w:val="center"/>
                </w:tcPr>
                <w:p w14:paraId="6F1434F2">
                  <w:pPr>
                    <w:adjustRightInd w:val="0"/>
                    <w:snapToGrid w:val="0"/>
                    <w:jc w:val="center"/>
                    <w:rPr>
                      <w:i/>
                      <w:iCs/>
                      <w:color w:val="auto"/>
                      <w:sz w:val="13"/>
                      <w:szCs w:val="13"/>
                      <w:u w:val="single"/>
                    </w:rPr>
                  </w:pPr>
                  <w:r>
                    <w:rPr>
                      <w:rFonts w:hint="eastAsia"/>
                      <w:i/>
                      <w:iCs/>
                      <w:color w:val="auto"/>
                      <w:sz w:val="13"/>
                      <w:szCs w:val="13"/>
                      <w:u w:val="single"/>
                    </w:rPr>
                    <w:t>12</w:t>
                  </w:r>
                </w:p>
                <w:p w14:paraId="13B9DD42">
                  <w:pPr>
                    <w:adjustRightInd w:val="0"/>
                    <w:snapToGrid w:val="0"/>
                    <w:jc w:val="center"/>
                    <w:rPr>
                      <w:i/>
                      <w:iCs/>
                      <w:color w:val="auto"/>
                      <w:sz w:val="15"/>
                      <w:szCs w:val="15"/>
                      <w:u w:val="single"/>
                    </w:rPr>
                  </w:pPr>
                </w:p>
              </w:tc>
              <w:tc>
                <w:tcPr>
                  <w:tcW w:w="244" w:type="pct"/>
                  <w:vMerge w:val="restart"/>
                  <w:tcBorders>
                    <w:tl2br w:val="nil"/>
                    <w:tr2bl w:val="nil"/>
                  </w:tcBorders>
                  <w:shd w:val="clear" w:color="auto" w:fill="auto"/>
                  <w:vAlign w:val="center"/>
                </w:tcPr>
                <w:p w14:paraId="28E04A40">
                  <w:pPr>
                    <w:adjustRightInd w:val="0"/>
                    <w:snapToGrid w:val="0"/>
                    <w:jc w:val="center"/>
                    <w:rPr>
                      <w:i/>
                      <w:iCs/>
                      <w:color w:val="auto"/>
                      <w:sz w:val="13"/>
                      <w:szCs w:val="13"/>
                      <w:u w:val="single"/>
                    </w:rPr>
                  </w:pPr>
                  <w:r>
                    <w:rPr>
                      <w:rFonts w:hint="eastAsia"/>
                      <w:i/>
                      <w:iCs/>
                      <w:color w:val="auto"/>
                      <w:sz w:val="13"/>
                      <w:szCs w:val="13"/>
                      <w:u w:val="single"/>
                    </w:rPr>
                    <w:t>20</w:t>
                  </w:r>
                </w:p>
                <w:p w14:paraId="3F28BFF5">
                  <w:pPr>
                    <w:adjustRightInd w:val="0"/>
                    <w:snapToGrid w:val="0"/>
                    <w:jc w:val="center"/>
                    <w:rPr>
                      <w:i/>
                      <w:iCs/>
                      <w:color w:val="auto"/>
                      <w:sz w:val="15"/>
                      <w:szCs w:val="15"/>
                      <w:u w:val="single"/>
                    </w:rPr>
                  </w:pPr>
                </w:p>
              </w:tc>
              <w:tc>
                <w:tcPr>
                  <w:tcW w:w="309" w:type="pct"/>
                  <w:vMerge w:val="restart"/>
                  <w:tcBorders>
                    <w:tl2br w:val="nil"/>
                    <w:tr2bl w:val="nil"/>
                  </w:tcBorders>
                  <w:shd w:val="clear" w:color="auto" w:fill="auto"/>
                  <w:vAlign w:val="center"/>
                </w:tcPr>
                <w:p w14:paraId="1DB7B6E7">
                  <w:pPr>
                    <w:adjustRightInd w:val="0"/>
                    <w:snapToGrid w:val="0"/>
                    <w:jc w:val="center"/>
                    <w:rPr>
                      <w:i/>
                      <w:iCs/>
                      <w:color w:val="auto"/>
                      <w:sz w:val="13"/>
                      <w:szCs w:val="13"/>
                      <w:u w:val="single"/>
                    </w:rPr>
                  </w:pPr>
                  <w:r>
                    <w:rPr>
                      <w:rFonts w:hint="eastAsia"/>
                      <w:i/>
                      <w:iCs/>
                      <w:color w:val="auto"/>
                      <w:sz w:val="13"/>
                      <w:szCs w:val="13"/>
                      <w:u w:val="single"/>
                    </w:rPr>
                    <w:t>4</w:t>
                  </w:r>
                </w:p>
                <w:p w14:paraId="06D2340C">
                  <w:pPr>
                    <w:adjustRightInd w:val="0"/>
                    <w:snapToGrid w:val="0"/>
                    <w:jc w:val="center"/>
                    <w:rPr>
                      <w:i/>
                      <w:iCs/>
                      <w:color w:val="auto"/>
                      <w:sz w:val="15"/>
                      <w:szCs w:val="15"/>
                      <w:u w:val="single"/>
                    </w:rPr>
                  </w:pPr>
                </w:p>
              </w:tc>
              <w:tc>
                <w:tcPr>
                  <w:tcW w:w="564" w:type="pct"/>
                  <w:tcBorders>
                    <w:tl2br w:val="nil"/>
                    <w:tr2bl w:val="nil"/>
                  </w:tcBorders>
                  <w:shd w:val="clear" w:color="auto" w:fill="auto"/>
                  <w:vAlign w:val="center"/>
                </w:tcPr>
                <w:p w14:paraId="04CE7070">
                  <w:pPr>
                    <w:adjustRightInd w:val="0"/>
                    <w:snapToGrid w:val="0"/>
                    <w:jc w:val="center"/>
                    <w:rPr>
                      <w:i/>
                      <w:iCs/>
                      <w:color w:val="auto"/>
                      <w:sz w:val="13"/>
                      <w:szCs w:val="13"/>
                      <w:u w:val="single"/>
                    </w:rPr>
                  </w:pPr>
                  <w:r>
                    <w:rPr>
                      <w:rFonts w:hint="eastAsia"/>
                      <w:i/>
                      <w:iCs/>
                      <w:color w:val="auto"/>
                      <w:sz w:val="13"/>
                      <w:szCs w:val="13"/>
                      <w:u w:val="single"/>
                    </w:rPr>
                    <w:t>东，13m</w:t>
                  </w:r>
                </w:p>
              </w:tc>
              <w:tc>
                <w:tcPr>
                  <w:tcW w:w="489" w:type="pct"/>
                  <w:tcBorders>
                    <w:tl2br w:val="nil"/>
                    <w:tr2bl w:val="nil"/>
                  </w:tcBorders>
                  <w:shd w:val="clear" w:color="auto" w:fill="auto"/>
                  <w:vAlign w:val="center"/>
                </w:tcPr>
                <w:p w14:paraId="6C093BB8">
                  <w:pPr>
                    <w:adjustRightInd w:val="0"/>
                    <w:snapToGrid w:val="0"/>
                    <w:jc w:val="center"/>
                    <w:rPr>
                      <w:i/>
                      <w:iCs/>
                      <w:color w:val="auto"/>
                      <w:sz w:val="13"/>
                      <w:szCs w:val="13"/>
                      <w:u w:val="single"/>
                    </w:rPr>
                  </w:pPr>
                  <w:r>
                    <w:rPr>
                      <w:rFonts w:hint="eastAsia"/>
                      <w:i/>
                      <w:iCs/>
                      <w:color w:val="auto"/>
                      <w:sz w:val="13"/>
                      <w:szCs w:val="13"/>
                      <w:u w:val="single"/>
                    </w:rPr>
                    <w:t>68</w:t>
                  </w:r>
                </w:p>
              </w:tc>
              <w:tc>
                <w:tcPr>
                  <w:tcW w:w="399" w:type="pct"/>
                  <w:vMerge w:val="restart"/>
                  <w:tcBorders>
                    <w:tl2br w:val="nil"/>
                    <w:tr2bl w:val="nil"/>
                  </w:tcBorders>
                  <w:shd w:val="clear" w:color="auto" w:fill="auto"/>
                  <w:vAlign w:val="center"/>
                </w:tcPr>
                <w:p w14:paraId="7CC92FD9">
                  <w:pPr>
                    <w:adjustRightInd w:val="0"/>
                    <w:snapToGrid w:val="0"/>
                    <w:jc w:val="center"/>
                    <w:rPr>
                      <w:i/>
                      <w:iCs/>
                      <w:color w:val="auto"/>
                      <w:sz w:val="13"/>
                      <w:szCs w:val="13"/>
                      <w:u w:val="single"/>
                    </w:rPr>
                  </w:pPr>
                  <w:r>
                    <w:rPr>
                      <w:rFonts w:hint="eastAsia"/>
                      <w:i/>
                      <w:iCs/>
                      <w:color w:val="auto"/>
                      <w:sz w:val="13"/>
                      <w:szCs w:val="13"/>
                      <w:u w:val="single"/>
                    </w:rPr>
                    <w:t>16h/d</w:t>
                  </w:r>
                </w:p>
                <w:p w14:paraId="0D032ED2">
                  <w:pPr>
                    <w:adjustRightInd w:val="0"/>
                    <w:snapToGrid w:val="0"/>
                    <w:jc w:val="center"/>
                    <w:rPr>
                      <w:rFonts w:eastAsiaTheme="minorEastAsia"/>
                      <w:i/>
                      <w:iCs/>
                      <w:color w:val="auto"/>
                      <w:sz w:val="15"/>
                      <w:szCs w:val="15"/>
                      <w:u w:val="single"/>
                    </w:rPr>
                  </w:pPr>
                </w:p>
              </w:tc>
              <w:tc>
                <w:tcPr>
                  <w:tcW w:w="476" w:type="pct"/>
                  <w:vMerge w:val="restart"/>
                  <w:tcBorders>
                    <w:tl2br w:val="nil"/>
                    <w:tr2bl w:val="nil"/>
                  </w:tcBorders>
                  <w:shd w:val="clear" w:color="auto" w:fill="auto"/>
                  <w:vAlign w:val="center"/>
                </w:tcPr>
                <w:p w14:paraId="2DE6FABE">
                  <w:pPr>
                    <w:adjustRightInd w:val="0"/>
                    <w:snapToGrid w:val="0"/>
                    <w:jc w:val="center"/>
                    <w:rPr>
                      <w:i/>
                      <w:iCs/>
                      <w:color w:val="auto"/>
                      <w:sz w:val="13"/>
                      <w:szCs w:val="13"/>
                      <w:u w:val="single"/>
                    </w:rPr>
                  </w:pPr>
                  <w:r>
                    <w:rPr>
                      <w:rFonts w:hint="eastAsia"/>
                      <w:i/>
                      <w:iCs/>
                      <w:color w:val="auto"/>
                      <w:sz w:val="13"/>
                      <w:szCs w:val="13"/>
                      <w:u w:val="single"/>
                    </w:rPr>
                    <w:t>20</w:t>
                  </w:r>
                </w:p>
                <w:p w14:paraId="2B741024">
                  <w:pPr>
                    <w:adjustRightInd w:val="0"/>
                    <w:snapToGrid w:val="0"/>
                    <w:jc w:val="center"/>
                    <w:rPr>
                      <w:rFonts w:eastAsiaTheme="minorEastAsia"/>
                      <w:i/>
                      <w:iCs/>
                      <w:color w:val="auto"/>
                      <w:sz w:val="15"/>
                      <w:szCs w:val="15"/>
                      <w:u w:val="single"/>
                    </w:rPr>
                  </w:pPr>
                </w:p>
              </w:tc>
              <w:tc>
                <w:tcPr>
                  <w:tcW w:w="398" w:type="pct"/>
                  <w:tcBorders>
                    <w:tl2br w:val="nil"/>
                    <w:tr2bl w:val="nil"/>
                  </w:tcBorders>
                  <w:shd w:val="clear" w:color="auto" w:fill="auto"/>
                  <w:vAlign w:val="center"/>
                </w:tcPr>
                <w:p w14:paraId="4EBBE304">
                  <w:pPr>
                    <w:adjustRightInd w:val="0"/>
                    <w:snapToGrid w:val="0"/>
                    <w:jc w:val="center"/>
                    <w:rPr>
                      <w:i/>
                      <w:iCs/>
                      <w:color w:val="auto"/>
                      <w:sz w:val="13"/>
                      <w:szCs w:val="13"/>
                      <w:u w:val="single"/>
                    </w:rPr>
                  </w:pPr>
                  <w:r>
                    <w:rPr>
                      <w:rFonts w:hint="eastAsia"/>
                      <w:i/>
                      <w:iCs/>
                      <w:color w:val="auto"/>
                      <w:sz w:val="13"/>
                      <w:szCs w:val="13"/>
                      <w:u w:val="single"/>
                    </w:rPr>
                    <w:t>48</w:t>
                  </w:r>
                </w:p>
              </w:tc>
              <w:tc>
                <w:tcPr>
                  <w:tcW w:w="332" w:type="pct"/>
                  <w:tcBorders>
                    <w:tl2br w:val="nil"/>
                    <w:tr2bl w:val="nil"/>
                  </w:tcBorders>
                  <w:shd w:val="clear" w:color="auto" w:fill="auto"/>
                  <w:vAlign w:val="center"/>
                </w:tcPr>
                <w:p w14:paraId="3B513308">
                  <w:pPr>
                    <w:adjustRightInd w:val="0"/>
                    <w:snapToGrid w:val="0"/>
                    <w:jc w:val="center"/>
                    <w:rPr>
                      <w:i/>
                      <w:iCs/>
                      <w:color w:val="auto"/>
                      <w:sz w:val="13"/>
                      <w:szCs w:val="13"/>
                      <w:u w:val="single"/>
                    </w:rPr>
                  </w:pPr>
                  <w:r>
                    <w:rPr>
                      <w:rFonts w:hint="eastAsia"/>
                      <w:i/>
                      <w:iCs/>
                      <w:color w:val="auto"/>
                      <w:sz w:val="13"/>
                      <w:szCs w:val="13"/>
                      <w:u w:val="single"/>
                    </w:rPr>
                    <w:t>1m</w:t>
                  </w:r>
                </w:p>
              </w:tc>
            </w:tr>
            <w:tr w14:paraId="5249F5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 w:hRule="atLeast"/>
              </w:trPr>
              <w:tc>
                <w:tcPr>
                  <w:tcW w:w="333" w:type="pct"/>
                  <w:vMerge w:val="continue"/>
                  <w:tcBorders>
                    <w:tl2br w:val="nil"/>
                    <w:tr2bl w:val="nil"/>
                  </w:tcBorders>
                  <w:vAlign w:val="center"/>
                </w:tcPr>
                <w:p w14:paraId="7BC634F9">
                  <w:pPr>
                    <w:adjustRightInd w:val="0"/>
                    <w:snapToGrid w:val="0"/>
                    <w:jc w:val="center"/>
                    <w:rPr>
                      <w:i/>
                      <w:iCs/>
                      <w:color w:val="auto"/>
                      <w:sz w:val="15"/>
                      <w:szCs w:val="15"/>
                      <w:u w:val="single"/>
                    </w:rPr>
                  </w:pPr>
                </w:p>
              </w:tc>
              <w:tc>
                <w:tcPr>
                  <w:tcW w:w="399" w:type="pct"/>
                  <w:vMerge w:val="continue"/>
                  <w:tcBorders>
                    <w:tl2br w:val="nil"/>
                    <w:tr2bl w:val="nil"/>
                  </w:tcBorders>
                  <w:vAlign w:val="center"/>
                </w:tcPr>
                <w:p w14:paraId="6E6EA31D">
                  <w:pPr>
                    <w:adjustRightInd w:val="0"/>
                    <w:snapToGrid w:val="0"/>
                    <w:jc w:val="center"/>
                    <w:rPr>
                      <w:rFonts w:eastAsiaTheme="minorEastAsia"/>
                      <w:i/>
                      <w:iCs/>
                      <w:color w:val="auto"/>
                      <w:kern w:val="2"/>
                      <w:sz w:val="15"/>
                      <w:szCs w:val="15"/>
                      <w:u w:val="single"/>
                    </w:rPr>
                  </w:pPr>
                </w:p>
              </w:tc>
              <w:tc>
                <w:tcPr>
                  <w:tcW w:w="398" w:type="pct"/>
                  <w:vMerge w:val="continue"/>
                  <w:tcBorders>
                    <w:tl2br w:val="nil"/>
                    <w:tr2bl w:val="nil"/>
                  </w:tcBorders>
                  <w:vAlign w:val="center"/>
                </w:tcPr>
                <w:p w14:paraId="7287C329">
                  <w:pPr>
                    <w:adjustRightInd w:val="0"/>
                    <w:snapToGrid w:val="0"/>
                    <w:jc w:val="center"/>
                    <w:rPr>
                      <w:i/>
                      <w:iCs/>
                      <w:color w:val="auto"/>
                      <w:sz w:val="15"/>
                      <w:szCs w:val="15"/>
                      <w:u w:val="single"/>
                    </w:rPr>
                  </w:pPr>
                </w:p>
              </w:tc>
              <w:tc>
                <w:tcPr>
                  <w:tcW w:w="402" w:type="pct"/>
                  <w:vMerge w:val="continue"/>
                  <w:tcBorders>
                    <w:tl2br w:val="nil"/>
                    <w:tr2bl w:val="nil"/>
                  </w:tcBorders>
                  <w:vAlign w:val="center"/>
                </w:tcPr>
                <w:p w14:paraId="67DED3FC">
                  <w:pPr>
                    <w:adjustRightInd w:val="0"/>
                    <w:snapToGrid w:val="0"/>
                    <w:jc w:val="center"/>
                    <w:rPr>
                      <w:i/>
                      <w:iCs/>
                      <w:color w:val="auto"/>
                      <w:sz w:val="15"/>
                      <w:szCs w:val="15"/>
                      <w:u w:val="single"/>
                    </w:rPr>
                  </w:pPr>
                </w:p>
              </w:tc>
              <w:tc>
                <w:tcPr>
                  <w:tcW w:w="251" w:type="pct"/>
                  <w:vMerge w:val="continue"/>
                  <w:tcBorders>
                    <w:tl2br w:val="nil"/>
                    <w:tr2bl w:val="nil"/>
                  </w:tcBorders>
                  <w:vAlign w:val="center"/>
                </w:tcPr>
                <w:p w14:paraId="756BC5FA">
                  <w:pPr>
                    <w:adjustRightInd w:val="0"/>
                    <w:snapToGrid w:val="0"/>
                    <w:jc w:val="center"/>
                    <w:rPr>
                      <w:i/>
                      <w:iCs/>
                      <w:color w:val="auto"/>
                      <w:sz w:val="15"/>
                      <w:szCs w:val="15"/>
                      <w:u w:val="single"/>
                    </w:rPr>
                  </w:pPr>
                </w:p>
              </w:tc>
              <w:tc>
                <w:tcPr>
                  <w:tcW w:w="244" w:type="pct"/>
                  <w:vMerge w:val="continue"/>
                  <w:tcBorders>
                    <w:tl2br w:val="nil"/>
                    <w:tr2bl w:val="nil"/>
                  </w:tcBorders>
                  <w:vAlign w:val="center"/>
                </w:tcPr>
                <w:p w14:paraId="7C4CE5BD">
                  <w:pPr>
                    <w:adjustRightInd w:val="0"/>
                    <w:snapToGrid w:val="0"/>
                    <w:jc w:val="center"/>
                    <w:rPr>
                      <w:i/>
                      <w:iCs/>
                      <w:color w:val="auto"/>
                      <w:sz w:val="15"/>
                      <w:szCs w:val="15"/>
                      <w:u w:val="single"/>
                    </w:rPr>
                  </w:pPr>
                </w:p>
              </w:tc>
              <w:tc>
                <w:tcPr>
                  <w:tcW w:w="309" w:type="pct"/>
                  <w:vMerge w:val="continue"/>
                  <w:tcBorders>
                    <w:tl2br w:val="nil"/>
                    <w:tr2bl w:val="nil"/>
                  </w:tcBorders>
                  <w:vAlign w:val="center"/>
                </w:tcPr>
                <w:p w14:paraId="32921E8E">
                  <w:pPr>
                    <w:adjustRightInd w:val="0"/>
                    <w:snapToGrid w:val="0"/>
                    <w:jc w:val="center"/>
                    <w:rPr>
                      <w:i/>
                      <w:iCs/>
                      <w:color w:val="auto"/>
                      <w:sz w:val="15"/>
                      <w:szCs w:val="15"/>
                      <w:u w:val="single"/>
                    </w:rPr>
                  </w:pPr>
                </w:p>
              </w:tc>
              <w:tc>
                <w:tcPr>
                  <w:tcW w:w="564" w:type="pct"/>
                  <w:tcBorders>
                    <w:tl2br w:val="nil"/>
                    <w:tr2bl w:val="nil"/>
                  </w:tcBorders>
                  <w:shd w:val="clear" w:color="auto" w:fill="auto"/>
                  <w:vAlign w:val="center"/>
                </w:tcPr>
                <w:p w14:paraId="65406960">
                  <w:pPr>
                    <w:adjustRightInd w:val="0"/>
                    <w:snapToGrid w:val="0"/>
                    <w:jc w:val="center"/>
                    <w:rPr>
                      <w:i/>
                      <w:iCs/>
                      <w:color w:val="auto"/>
                      <w:sz w:val="13"/>
                      <w:szCs w:val="13"/>
                      <w:u w:val="single"/>
                    </w:rPr>
                  </w:pPr>
                  <w:r>
                    <w:rPr>
                      <w:rFonts w:hint="eastAsia"/>
                      <w:i/>
                      <w:iCs/>
                      <w:color w:val="auto"/>
                      <w:sz w:val="13"/>
                      <w:szCs w:val="13"/>
                      <w:u w:val="single"/>
                    </w:rPr>
                    <w:t>南，20m</w:t>
                  </w:r>
                </w:p>
              </w:tc>
              <w:tc>
                <w:tcPr>
                  <w:tcW w:w="489" w:type="pct"/>
                  <w:tcBorders>
                    <w:tl2br w:val="nil"/>
                    <w:tr2bl w:val="nil"/>
                  </w:tcBorders>
                  <w:shd w:val="clear" w:color="auto" w:fill="auto"/>
                  <w:vAlign w:val="center"/>
                </w:tcPr>
                <w:p w14:paraId="5F01998C">
                  <w:pPr>
                    <w:adjustRightInd w:val="0"/>
                    <w:snapToGrid w:val="0"/>
                    <w:jc w:val="center"/>
                    <w:rPr>
                      <w:i/>
                      <w:iCs/>
                      <w:color w:val="auto"/>
                      <w:sz w:val="13"/>
                      <w:szCs w:val="13"/>
                      <w:u w:val="single"/>
                    </w:rPr>
                  </w:pPr>
                  <w:r>
                    <w:rPr>
                      <w:rFonts w:hint="eastAsia"/>
                      <w:i/>
                      <w:iCs/>
                      <w:color w:val="auto"/>
                      <w:sz w:val="13"/>
                      <w:szCs w:val="13"/>
                      <w:u w:val="single"/>
                    </w:rPr>
                    <w:t>64</w:t>
                  </w:r>
                </w:p>
              </w:tc>
              <w:tc>
                <w:tcPr>
                  <w:tcW w:w="399" w:type="pct"/>
                  <w:vMerge w:val="continue"/>
                  <w:tcBorders>
                    <w:tl2br w:val="nil"/>
                    <w:tr2bl w:val="nil"/>
                  </w:tcBorders>
                  <w:vAlign w:val="center"/>
                </w:tcPr>
                <w:p w14:paraId="14A6C4EC">
                  <w:pPr>
                    <w:adjustRightInd w:val="0"/>
                    <w:snapToGrid w:val="0"/>
                    <w:jc w:val="center"/>
                    <w:rPr>
                      <w:i/>
                      <w:iCs/>
                      <w:color w:val="auto"/>
                      <w:sz w:val="15"/>
                      <w:szCs w:val="15"/>
                      <w:u w:val="single"/>
                    </w:rPr>
                  </w:pPr>
                </w:p>
              </w:tc>
              <w:tc>
                <w:tcPr>
                  <w:tcW w:w="476" w:type="pct"/>
                  <w:vMerge w:val="continue"/>
                  <w:tcBorders>
                    <w:tl2br w:val="nil"/>
                    <w:tr2bl w:val="nil"/>
                  </w:tcBorders>
                  <w:vAlign w:val="center"/>
                </w:tcPr>
                <w:p w14:paraId="2A32559B">
                  <w:pPr>
                    <w:adjustRightInd w:val="0"/>
                    <w:snapToGrid w:val="0"/>
                    <w:jc w:val="center"/>
                    <w:rPr>
                      <w:i/>
                      <w:iCs/>
                      <w:color w:val="auto"/>
                      <w:sz w:val="15"/>
                      <w:szCs w:val="15"/>
                      <w:u w:val="single"/>
                    </w:rPr>
                  </w:pPr>
                </w:p>
              </w:tc>
              <w:tc>
                <w:tcPr>
                  <w:tcW w:w="398" w:type="pct"/>
                  <w:tcBorders>
                    <w:tl2br w:val="nil"/>
                    <w:tr2bl w:val="nil"/>
                  </w:tcBorders>
                  <w:shd w:val="clear" w:color="auto" w:fill="auto"/>
                  <w:vAlign w:val="center"/>
                </w:tcPr>
                <w:p w14:paraId="4569A6D6">
                  <w:pPr>
                    <w:adjustRightInd w:val="0"/>
                    <w:snapToGrid w:val="0"/>
                    <w:jc w:val="center"/>
                    <w:rPr>
                      <w:i/>
                      <w:iCs/>
                      <w:color w:val="auto"/>
                      <w:sz w:val="13"/>
                      <w:szCs w:val="13"/>
                      <w:u w:val="single"/>
                    </w:rPr>
                  </w:pPr>
                  <w:r>
                    <w:rPr>
                      <w:rFonts w:hint="eastAsia"/>
                      <w:i/>
                      <w:iCs/>
                      <w:color w:val="auto"/>
                      <w:sz w:val="13"/>
                      <w:szCs w:val="13"/>
                      <w:u w:val="single"/>
                    </w:rPr>
                    <w:t>44</w:t>
                  </w:r>
                </w:p>
              </w:tc>
              <w:tc>
                <w:tcPr>
                  <w:tcW w:w="332" w:type="pct"/>
                  <w:tcBorders>
                    <w:tl2br w:val="nil"/>
                    <w:tr2bl w:val="nil"/>
                  </w:tcBorders>
                  <w:shd w:val="clear" w:color="auto" w:fill="auto"/>
                  <w:vAlign w:val="center"/>
                </w:tcPr>
                <w:p w14:paraId="50201F24">
                  <w:pPr>
                    <w:adjustRightInd w:val="0"/>
                    <w:snapToGrid w:val="0"/>
                    <w:jc w:val="center"/>
                    <w:rPr>
                      <w:i/>
                      <w:iCs/>
                      <w:color w:val="auto"/>
                      <w:sz w:val="13"/>
                      <w:szCs w:val="13"/>
                      <w:u w:val="single"/>
                    </w:rPr>
                  </w:pPr>
                  <w:r>
                    <w:rPr>
                      <w:rFonts w:hint="eastAsia"/>
                      <w:i/>
                      <w:iCs/>
                      <w:color w:val="auto"/>
                      <w:sz w:val="13"/>
                      <w:szCs w:val="13"/>
                      <w:u w:val="single"/>
                    </w:rPr>
                    <w:t>1m</w:t>
                  </w:r>
                </w:p>
              </w:tc>
            </w:tr>
            <w:tr w14:paraId="28B903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333" w:type="pct"/>
                  <w:vMerge w:val="continue"/>
                  <w:tcBorders>
                    <w:tl2br w:val="nil"/>
                    <w:tr2bl w:val="nil"/>
                  </w:tcBorders>
                  <w:vAlign w:val="center"/>
                </w:tcPr>
                <w:p w14:paraId="7A5572CA">
                  <w:pPr>
                    <w:adjustRightInd w:val="0"/>
                    <w:snapToGrid w:val="0"/>
                    <w:jc w:val="center"/>
                    <w:rPr>
                      <w:i/>
                      <w:iCs/>
                      <w:color w:val="auto"/>
                      <w:sz w:val="15"/>
                      <w:szCs w:val="15"/>
                      <w:u w:val="single"/>
                    </w:rPr>
                  </w:pPr>
                </w:p>
              </w:tc>
              <w:tc>
                <w:tcPr>
                  <w:tcW w:w="399" w:type="pct"/>
                  <w:vMerge w:val="continue"/>
                  <w:tcBorders>
                    <w:tl2br w:val="nil"/>
                    <w:tr2bl w:val="nil"/>
                  </w:tcBorders>
                  <w:vAlign w:val="center"/>
                </w:tcPr>
                <w:p w14:paraId="364FB48F">
                  <w:pPr>
                    <w:adjustRightInd w:val="0"/>
                    <w:snapToGrid w:val="0"/>
                    <w:jc w:val="center"/>
                    <w:rPr>
                      <w:rFonts w:eastAsiaTheme="minorEastAsia"/>
                      <w:i/>
                      <w:iCs/>
                      <w:color w:val="auto"/>
                      <w:kern w:val="2"/>
                      <w:sz w:val="15"/>
                      <w:szCs w:val="15"/>
                      <w:u w:val="single"/>
                    </w:rPr>
                  </w:pPr>
                </w:p>
              </w:tc>
              <w:tc>
                <w:tcPr>
                  <w:tcW w:w="398" w:type="pct"/>
                  <w:vMerge w:val="continue"/>
                  <w:tcBorders>
                    <w:tl2br w:val="nil"/>
                    <w:tr2bl w:val="nil"/>
                  </w:tcBorders>
                  <w:vAlign w:val="center"/>
                </w:tcPr>
                <w:p w14:paraId="7E857123">
                  <w:pPr>
                    <w:adjustRightInd w:val="0"/>
                    <w:snapToGrid w:val="0"/>
                    <w:jc w:val="center"/>
                    <w:rPr>
                      <w:i/>
                      <w:iCs/>
                      <w:color w:val="auto"/>
                      <w:sz w:val="15"/>
                      <w:szCs w:val="15"/>
                      <w:u w:val="single"/>
                    </w:rPr>
                  </w:pPr>
                </w:p>
              </w:tc>
              <w:tc>
                <w:tcPr>
                  <w:tcW w:w="402" w:type="pct"/>
                  <w:vMerge w:val="continue"/>
                  <w:tcBorders>
                    <w:tl2br w:val="nil"/>
                    <w:tr2bl w:val="nil"/>
                  </w:tcBorders>
                  <w:vAlign w:val="center"/>
                </w:tcPr>
                <w:p w14:paraId="751366EA">
                  <w:pPr>
                    <w:adjustRightInd w:val="0"/>
                    <w:snapToGrid w:val="0"/>
                    <w:jc w:val="center"/>
                    <w:rPr>
                      <w:i/>
                      <w:iCs/>
                      <w:color w:val="auto"/>
                      <w:sz w:val="15"/>
                      <w:szCs w:val="15"/>
                      <w:u w:val="single"/>
                    </w:rPr>
                  </w:pPr>
                </w:p>
              </w:tc>
              <w:tc>
                <w:tcPr>
                  <w:tcW w:w="251" w:type="pct"/>
                  <w:vMerge w:val="continue"/>
                  <w:tcBorders>
                    <w:tl2br w:val="nil"/>
                    <w:tr2bl w:val="nil"/>
                  </w:tcBorders>
                  <w:vAlign w:val="center"/>
                </w:tcPr>
                <w:p w14:paraId="5E7B304B">
                  <w:pPr>
                    <w:adjustRightInd w:val="0"/>
                    <w:snapToGrid w:val="0"/>
                    <w:jc w:val="center"/>
                    <w:rPr>
                      <w:i/>
                      <w:iCs/>
                      <w:color w:val="auto"/>
                      <w:sz w:val="15"/>
                      <w:szCs w:val="15"/>
                      <w:u w:val="single"/>
                    </w:rPr>
                  </w:pPr>
                </w:p>
              </w:tc>
              <w:tc>
                <w:tcPr>
                  <w:tcW w:w="244" w:type="pct"/>
                  <w:vMerge w:val="continue"/>
                  <w:tcBorders>
                    <w:tl2br w:val="nil"/>
                    <w:tr2bl w:val="nil"/>
                  </w:tcBorders>
                  <w:vAlign w:val="center"/>
                </w:tcPr>
                <w:p w14:paraId="36AAEB57">
                  <w:pPr>
                    <w:adjustRightInd w:val="0"/>
                    <w:snapToGrid w:val="0"/>
                    <w:jc w:val="center"/>
                    <w:rPr>
                      <w:i/>
                      <w:iCs/>
                      <w:color w:val="auto"/>
                      <w:sz w:val="15"/>
                      <w:szCs w:val="15"/>
                      <w:u w:val="single"/>
                    </w:rPr>
                  </w:pPr>
                </w:p>
              </w:tc>
              <w:tc>
                <w:tcPr>
                  <w:tcW w:w="309" w:type="pct"/>
                  <w:vMerge w:val="continue"/>
                  <w:tcBorders>
                    <w:tl2br w:val="nil"/>
                    <w:tr2bl w:val="nil"/>
                  </w:tcBorders>
                  <w:vAlign w:val="center"/>
                </w:tcPr>
                <w:p w14:paraId="15BB5237">
                  <w:pPr>
                    <w:adjustRightInd w:val="0"/>
                    <w:snapToGrid w:val="0"/>
                    <w:jc w:val="center"/>
                    <w:rPr>
                      <w:i/>
                      <w:iCs/>
                      <w:color w:val="auto"/>
                      <w:sz w:val="15"/>
                      <w:szCs w:val="15"/>
                      <w:u w:val="single"/>
                    </w:rPr>
                  </w:pPr>
                </w:p>
              </w:tc>
              <w:tc>
                <w:tcPr>
                  <w:tcW w:w="564" w:type="pct"/>
                  <w:tcBorders>
                    <w:tl2br w:val="nil"/>
                    <w:tr2bl w:val="nil"/>
                  </w:tcBorders>
                  <w:shd w:val="clear" w:color="auto" w:fill="auto"/>
                  <w:vAlign w:val="center"/>
                </w:tcPr>
                <w:p w14:paraId="12B0417E">
                  <w:pPr>
                    <w:adjustRightInd w:val="0"/>
                    <w:snapToGrid w:val="0"/>
                    <w:jc w:val="center"/>
                    <w:rPr>
                      <w:i/>
                      <w:iCs/>
                      <w:color w:val="auto"/>
                      <w:sz w:val="13"/>
                      <w:szCs w:val="13"/>
                      <w:u w:val="single"/>
                    </w:rPr>
                  </w:pPr>
                  <w:r>
                    <w:rPr>
                      <w:rFonts w:hint="eastAsia"/>
                      <w:i/>
                      <w:iCs/>
                      <w:color w:val="auto"/>
                      <w:sz w:val="13"/>
                      <w:szCs w:val="13"/>
                      <w:u w:val="single"/>
                    </w:rPr>
                    <w:t>西，12m</w:t>
                  </w:r>
                </w:p>
              </w:tc>
              <w:tc>
                <w:tcPr>
                  <w:tcW w:w="489" w:type="pct"/>
                  <w:tcBorders>
                    <w:tl2br w:val="nil"/>
                    <w:tr2bl w:val="nil"/>
                  </w:tcBorders>
                  <w:shd w:val="clear" w:color="auto" w:fill="auto"/>
                  <w:vAlign w:val="center"/>
                </w:tcPr>
                <w:p w14:paraId="07BB1157">
                  <w:pPr>
                    <w:adjustRightInd w:val="0"/>
                    <w:snapToGrid w:val="0"/>
                    <w:jc w:val="center"/>
                    <w:rPr>
                      <w:i/>
                      <w:iCs/>
                      <w:color w:val="auto"/>
                      <w:sz w:val="13"/>
                      <w:szCs w:val="13"/>
                      <w:u w:val="single"/>
                    </w:rPr>
                  </w:pPr>
                  <w:r>
                    <w:rPr>
                      <w:rFonts w:hint="eastAsia"/>
                      <w:i/>
                      <w:iCs/>
                      <w:color w:val="auto"/>
                      <w:sz w:val="13"/>
                      <w:szCs w:val="13"/>
                      <w:u w:val="single"/>
                    </w:rPr>
                    <w:t>68</w:t>
                  </w:r>
                </w:p>
              </w:tc>
              <w:tc>
                <w:tcPr>
                  <w:tcW w:w="399" w:type="pct"/>
                  <w:vMerge w:val="continue"/>
                  <w:tcBorders>
                    <w:tl2br w:val="nil"/>
                    <w:tr2bl w:val="nil"/>
                  </w:tcBorders>
                  <w:vAlign w:val="center"/>
                </w:tcPr>
                <w:p w14:paraId="4F602440">
                  <w:pPr>
                    <w:adjustRightInd w:val="0"/>
                    <w:snapToGrid w:val="0"/>
                    <w:jc w:val="center"/>
                    <w:rPr>
                      <w:i/>
                      <w:iCs/>
                      <w:color w:val="auto"/>
                      <w:sz w:val="15"/>
                      <w:szCs w:val="15"/>
                      <w:u w:val="single"/>
                    </w:rPr>
                  </w:pPr>
                </w:p>
              </w:tc>
              <w:tc>
                <w:tcPr>
                  <w:tcW w:w="476" w:type="pct"/>
                  <w:vMerge w:val="continue"/>
                  <w:tcBorders>
                    <w:tl2br w:val="nil"/>
                    <w:tr2bl w:val="nil"/>
                  </w:tcBorders>
                  <w:vAlign w:val="center"/>
                </w:tcPr>
                <w:p w14:paraId="6623DA14">
                  <w:pPr>
                    <w:adjustRightInd w:val="0"/>
                    <w:snapToGrid w:val="0"/>
                    <w:jc w:val="center"/>
                    <w:rPr>
                      <w:i/>
                      <w:iCs/>
                      <w:color w:val="auto"/>
                      <w:sz w:val="15"/>
                      <w:szCs w:val="15"/>
                      <w:u w:val="single"/>
                    </w:rPr>
                  </w:pPr>
                </w:p>
              </w:tc>
              <w:tc>
                <w:tcPr>
                  <w:tcW w:w="398" w:type="pct"/>
                  <w:tcBorders>
                    <w:tl2br w:val="nil"/>
                    <w:tr2bl w:val="nil"/>
                  </w:tcBorders>
                  <w:shd w:val="clear" w:color="auto" w:fill="auto"/>
                  <w:vAlign w:val="center"/>
                </w:tcPr>
                <w:p w14:paraId="08D03DEC">
                  <w:pPr>
                    <w:adjustRightInd w:val="0"/>
                    <w:snapToGrid w:val="0"/>
                    <w:jc w:val="center"/>
                    <w:rPr>
                      <w:i/>
                      <w:iCs/>
                      <w:color w:val="auto"/>
                      <w:sz w:val="13"/>
                      <w:szCs w:val="13"/>
                      <w:u w:val="single"/>
                    </w:rPr>
                  </w:pPr>
                  <w:r>
                    <w:rPr>
                      <w:rFonts w:hint="eastAsia"/>
                      <w:i/>
                      <w:iCs/>
                      <w:color w:val="auto"/>
                      <w:sz w:val="13"/>
                      <w:szCs w:val="13"/>
                      <w:u w:val="single"/>
                    </w:rPr>
                    <w:t>48</w:t>
                  </w:r>
                </w:p>
              </w:tc>
              <w:tc>
                <w:tcPr>
                  <w:tcW w:w="332" w:type="pct"/>
                  <w:tcBorders>
                    <w:tl2br w:val="nil"/>
                    <w:tr2bl w:val="nil"/>
                  </w:tcBorders>
                  <w:shd w:val="clear" w:color="auto" w:fill="auto"/>
                  <w:vAlign w:val="center"/>
                </w:tcPr>
                <w:p w14:paraId="3120C7DE">
                  <w:pPr>
                    <w:adjustRightInd w:val="0"/>
                    <w:snapToGrid w:val="0"/>
                    <w:jc w:val="center"/>
                    <w:rPr>
                      <w:i/>
                      <w:iCs/>
                      <w:color w:val="auto"/>
                      <w:sz w:val="13"/>
                      <w:szCs w:val="13"/>
                      <w:u w:val="single"/>
                    </w:rPr>
                  </w:pPr>
                  <w:r>
                    <w:rPr>
                      <w:rFonts w:hint="eastAsia"/>
                      <w:i/>
                      <w:iCs/>
                      <w:color w:val="auto"/>
                      <w:sz w:val="13"/>
                      <w:szCs w:val="13"/>
                      <w:u w:val="single"/>
                    </w:rPr>
                    <w:t>1m</w:t>
                  </w:r>
                </w:p>
              </w:tc>
            </w:tr>
            <w:tr w14:paraId="1FF8C3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33" w:type="pct"/>
                  <w:vMerge w:val="continue"/>
                  <w:tcBorders>
                    <w:tl2br w:val="nil"/>
                    <w:tr2bl w:val="nil"/>
                  </w:tcBorders>
                  <w:vAlign w:val="center"/>
                </w:tcPr>
                <w:p w14:paraId="76DD0538">
                  <w:pPr>
                    <w:adjustRightInd w:val="0"/>
                    <w:snapToGrid w:val="0"/>
                    <w:jc w:val="center"/>
                    <w:rPr>
                      <w:i/>
                      <w:iCs/>
                      <w:color w:val="auto"/>
                      <w:sz w:val="15"/>
                      <w:szCs w:val="15"/>
                      <w:u w:val="single"/>
                    </w:rPr>
                  </w:pPr>
                </w:p>
              </w:tc>
              <w:tc>
                <w:tcPr>
                  <w:tcW w:w="399" w:type="pct"/>
                  <w:vMerge w:val="continue"/>
                  <w:tcBorders>
                    <w:tl2br w:val="nil"/>
                    <w:tr2bl w:val="nil"/>
                  </w:tcBorders>
                  <w:vAlign w:val="center"/>
                </w:tcPr>
                <w:p w14:paraId="1E2B56A4">
                  <w:pPr>
                    <w:adjustRightInd w:val="0"/>
                    <w:snapToGrid w:val="0"/>
                    <w:jc w:val="center"/>
                    <w:rPr>
                      <w:rFonts w:eastAsiaTheme="minorEastAsia"/>
                      <w:i/>
                      <w:iCs/>
                      <w:color w:val="auto"/>
                      <w:kern w:val="2"/>
                      <w:sz w:val="15"/>
                      <w:szCs w:val="15"/>
                      <w:u w:val="single"/>
                    </w:rPr>
                  </w:pPr>
                </w:p>
              </w:tc>
              <w:tc>
                <w:tcPr>
                  <w:tcW w:w="398" w:type="pct"/>
                  <w:vMerge w:val="continue"/>
                  <w:tcBorders>
                    <w:tl2br w:val="nil"/>
                    <w:tr2bl w:val="nil"/>
                  </w:tcBorders>
                  <w:vAlign w:val="center"/>
                </w:tcPr>
                <w:p w14:paraId="5BCE2253">
                  <w:pPr>
                    <w:adjustRightInd w:val="0"/>
                    <w:snapToGrid w:val="0"/>
                    <w:jc w:val="center"/>
                    <w:rPr>
                      <w:i/>
                      <w:iCs/>
                      <w:color w:val="auto"/>
                      <w:sz w:val="15"/>
                      <w:szCs w:val="15"/>
                      <w:u w:val="single"/>
                    </w:rPr>
                  </w:pPr>
                </w:p>
              </w:tc>
              <w:tc>
                <w:tcPr>
                  <w:tcW w:w="402" w:type="pct"/>
                  <w:vMerge w:val="continue"/>
                  <w:tcBorders>
                    <w:tl2br w:val="nil"/>
                    <w:tr2bl w:val="nil"/>
                  </w:tcBorders>
                  <w:vAlign w:val="center"/>
                </w:tcPr>
                <w:p w14:paraId="0E77C1FC">
                  <w:pPr>
                    <w:adjustRightInd w:val="0"/>
                    <w:snapToGrid w:val="0"/>
                    <w:jc w:val="center"/>
                    <w:rPr>
                      <w:i/>
                      <w:iCs/>
                      <w:color w:val="auto"/>
                      <w:sz w:val="15"/>
                      <w:szCs w:val="15"/>
                      <w:u w:val="single"/>
                    </w:rPr>
                  </w:pPr>
                </w:p>
              </w:tc>
              <w:tc>
                <w:tcPr>
                  <w:tcW w:w="251" w:type="pct"/>
                  <w:vMerge w:val="continue"/>
                  <w:tcBorders>
                    <w:tl2br w:val="nil"/>
                    <w:tr2bl w:val="nil"/>
                  </w:tcBorders>
                  <w:vAlign w:val="center"/>
                </w:tcPr>
                <w:p w14:paraId="297CD108">
                  <w:pPr>
                    <w:adjustRightInd w:val="0"/>
                    <w:snapToGrid w:val="0"/>
                    <w:jc w:val="center"/>
                    <w:rPr>
                      <w:i/>
                      <w:iCs/>
                      <w:color w:val="auto"/>
                      <w:sz w:val="15"/>
                      <w:szCs w:val="15"/>
                      <w:u w:val="single"/>
                    </w:rPr>
                  </w:pPr>
                </w:p>
              </w:tc>
              <w:tc>
                <w:tcPr>
                  <w:tcW w:w="244" w:type="pct"/>
                  <w:vMerge w:val="continue"/>
                  <w:tcBorders>
                    <w:tl2br w:val="nil"/>
                    <w:tr2bl w:val="nil"/>
                  </w:tcBorders>
                  <w:vAlign w:val="center"/>
                </w:tcPr>
                <w:p w14:paraId="06EEDFD5">
                  <w:pPr>
                    <w:adjustRightInd w:val="0"/>
                    <w:snapToGrid w:val="0"/>
                    <w:jc w:val="center"/>
                    <w:rPr>
                      <w:i/>
                      <w:iCs/>
                      <w:color w:val="auto"/>
                      <w:sz w:val="15"/>
                      <w:szCs w:val="15"/>
                      <w:u w:val="single"/>
                    </w:rPr>
                  </w:pPr>
                </w:p>
              </w:tc>
              <w:tc>
                <w:tcPr>
                  <w:tcW w:w="309" w:type="pct"/>
                  <w:vMerge w:val="continue"/>
                  <w:tcBorders>
                    <w:tl2br w:val="nil"/>
                    <w:tr2bl w:val="nil"/>
                  </w:tcBorders>
                  <w:vAlign w:val="center"/>
                </w:tcPr>
                <w:p w14:paraId="7C173E96">
                  <w:pPr>
                    <w:adjustRightInd w:val="0"/>
                    <w:snapToGrid w:val="0"/>
                    <w:jc w:val="center"/>
                    <w:rPr>
                      <w:i/>
                      <w:iCs/>
                      <w:color w:val="auto"/>
                      <w:sz w:val="15"/>
                      <w:szCs w:val="15"/>
                      <w:u w:val="single"/>
                    </w:rPr>
                  </w:pPr>
                </w:p>
              </w:tc>
              <w:tc>
                <w:tcPr>
                  <w:tcW w:w="564" w:type="pct"/>
                  <w:tcBorders>
                    <w:tl2br w:val="nil"/>
                    <w:tr2bl w:val="nil"/>
                  </w:tcBorders>
                  <w:shd w:val="clear" w:color="auto" w:fill="auto"/>
                  <w:vAlign w:val="center"/>
                </w:tcPr>
                <w:p w14:paraId="345CAFCE">
                  <w:pPr>
                    <w:adjustRightInd w:val="0"/>
                    <w:snapToGrid w:val="0"/>
                    <w:jc w:val="center"/>
                    <w:rPr>
                      <w:i/>
                      <w:iCs/>
                      <w:color w:val="auto"/>
                      <w:sz w:val="13"/>
                      <w:szCs w:val="13"/>
                      <w:u w:val="single"/>
                    </w:rPr>
                  </w:pPr>
                  <w:r>
                    <w:rPr>
                      <w:rFonts w:hint="eastAsia"/>
                      <w:i/>
                      <w:iCs/>
                      <w:color w:val="auto"/>
                      <w:sz w:val="13"/>
                      <w:szCs w:val="13"/>
                      <w:u w:val="single"/>
                    </w:rPr>
                    <w:t>北，10m</w:t>
                  </w:r>
                </w:p>
              </w:tc>
              <w:tc>
                <w:tcPr>
                  <w:tcW w:w="489" w:type="pct"/>
                  <w:tcBorders>
                    <w:tl2br w:val="nil"/>
                    <w:tr2bl w:val="nil"/>
                  </w:tcBorders>
                  <w:shd w:val="clear" w:color="auto" w:fill="auto"/>
                  <w:vAlign w:val="center"/>
                </w:tcPr>
                <w:p w14:paraId="422109E8">
                  <w:pPr>
                    <w:adjustRightInd w:val="0"/>
                    <w:snapToGrid w:val="0"/>
                    <w:jc w:val="center"/>
                    <w:rPr>
                      <w:i/>
                      <w:iCs/>
                      <w:color w:val="auto"/>
                      <w:sz w:val="13"/>
                      <w:szCs w:val="13"/>
                      <w:u w:val="single"/>
                    </w:rPr>
                  </w:pPr>
                  <w:r>
                    <w:rPr>
                      <w:rFonts w:hint="eastAsia"/>
                      <w:i/>
                      <w:iCs/>
                      <w:color w:val="auto"/>
                      <w:sz w:val="13"/>
                      <w:szCs w:val="13"/>
                      <w:u w:val="single"/>
                    </w:rPr>
                    <w:t>70</w:t>
                  </w:r>
                </w:p>
              </w:tc>
              <w:tc>
                <w:tcPr>
                  <w:tcW w:w="399" w:type="pct"/>
                  <w:vMerge w:val="continue"/>
                  <w:tcBorders>
                    <w:tl2br w:val="nil"/>
                    <w:tr2bl w:val="nil"/>
                  </w:tcBorders>
                  <w:vAlign w:val="center"/>
                </w:tcPr>
                <w:p w14:paraId="24CF60EF">
                  <w:pPr>
                    <w:adjustRightInd w:val="0"/>
                    <w:snapToGrid w:val="0"/>
                    <w:jc w:val="center"/>
                    <w:rPr>
                      <w:i/>
                      <w:iCs/>
                      <w:color w:val="auto"/>
                      <w:sz w:val="15"/>
                      <w:szCs w:val="15"/>
                      <w:u w:val="single"/>
                    </w:rPr>
                  </w:pPr>
                </w:p>
              </w:tc>
              <w:tc>
                <w:tcPr>
                  <w:tcW w:w="476" w:type="pct"/>
                  <w:vMerge w:val="continue"/>
                  <w:tcBorders>
                    <w:tl2br w:val="nil"/>
                    <w:tr2bl w:val="nil"/>
                  </w:tcBorders>
                  <w:vAlign w:val="center"/>
                </w:tcPr>
                <w:p w14:paraId="6E76218B">
                  <w:pPr>
                    <w:adjustRightInd w:val="0"/>
                    <w:snapToGrid w:val="0"/>
                    <w:jc w:val="center"/>
                    <w:rPr>
                      <w:i/>
                      <w:iCs/>
                      <w:color w:val="auto"/>
                      <w:sz w:val="15"/>
                      <w:szCs w:val="15"/>
                      <w:u w:val="single"/>
                    </w:rPr>
                  </w:pPr>
                </w:p>
              </w:tc>
              <w:tc>
                <w:tcPr>
                  <w:tcW w:w="398" w:type="pct"/>
                  <w:tcBorders>
                    <w:tl2br w:val="nil"/>
                    <w:tr2bl w:val="nil"/>
                  </w:tcBorders>
                  <w:shd w:val="clear" w:color="auto" w:fill="auto"/>
                  <w:vAlign w:val="center"/>
                </w:tcPr>
                <w:p w14:paraId="291E40D9">
                  <w:pPr>
                    <w:adjustRightInd w:val="0"/>
                    <w:snapToGrid w:val="0"/>
                    <w:jc w:val="center"/>
                    <w:rPr>
                      <w:i/>
                      <w:iCs/>
                      <w:color w:val="auto"/>
                      <w:sz w:val="13"/>
                      <w:szCs w:val="13"/>
                      <w:u w:val="single"/>
                    </w:rPr>
                  </w:pPr>
                  <w:r>
                    <w:rPr>
                      <w:rFonts w:hint="eastAsia"/>
                      <w:i/>
                      <w:iCs/>
                      <w:color w:val="auto"/>
                      <w:sz w:val="13"/>
                      <w:szCs w:val="13"/>
                      <w:u w:val="single"/>
                    </w:rPr>
                    <w:t>50</w:t>
                  </w:r>
                </w:p>
              </w:tc>
              <w:tc>
                <w:tcPr>
                  <w:tcW w:w="332" w:type="pct"/>
                  <w:tcBorders>
                    <w:tl2br w:val="nil"/>
                    <w:tr2bl w:val="nil"/>
                  </w:tcBorders>
                  <w:shd w:val="clear" w:color="auto" w:fill="auto"/>
                  <w:vAlign w:val="center"/>
                </w:tcPr>
                <w:p w14:paraId="194C8F83">
                  <w:pPr>
                    <w:adjustRightInd w:val="0"/>
                    <w:snapToGrid w:val="0"/>
                    <w:jc w:val="center"/>
                    <w:rPr>
                      <w:i/>
                      <w:iCs/>
                      <w:color w:val="auto"/>
                      <w:sz w:val="13"/>
                      <w:szCs w:val="13"/>
                      <w:u w:val="single"/>
                    </w:rPr>
                  </w:pPr>
                  <w:r>
                    <w:rPr>
                      <w:rFonts w:hint="eastAsia"/>
                      <w:i/>
                      <w:iCs/>
                      <w:color w:val="auto"/>
                      <w:sz w:val="13"/>
                      <w:szCs w:val="13"/>
                      <w:u w:val="single"/>
                    </w:rPr>
                    <w:t>1m</w:t>
                  </w:r>
                </w:p>
              </w:tc>
            </w:tr>
            <w:tr w14:paraId="489B4F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333" w:type="pct"/>
                  <w:vMerge w:val="continue"/>
                  <w:tcBorders>
                    <w:tl2br w:val="nil"/>
                    <w:tr2bl w:val="nil"/>
                  </w:tcBorders>
                  <w:vAlign w:val="center"/>
                </w:tcPr>
                <w:p w14:paraId="255087E0">
                  <w:pPr>
                    <w:adjustRightInd w:val="0"/>
                    <w:snapToGrid w:val="0"/>
                    <w:jc w:val="center"/>
                    <w:rPr>
                      <w:i/>
                      <w:iCs/>
                      <w:color w:val="auto"/>
                      <w:sz w:val="15"/>
                      <w:szCs w:val="15"/>
                      <w:u w:val="single"/>
                    </w:rPr>
                  </w:pPr>
                </w:p>
              </w:tc>
              <w:tc>
                <w:tcPr>
                  <w:tcW w:w="399" w:type="pct"/>
                  <w:vMerge w:val="restart"/>
                  <w:tcBorders>
                    <w:tl2br w:val="nil"/>
                    <w:tr2bl w:val="nil"/>
                  </w:tcBorders>
                  <w:shd w:val="clear" w:color="auto" w:fill="auto"/>
                  <w:vAlign w:val="center"/>
                </w:tcPr>
                <w:p w14:paraId="06A67814">
                  <w:pPr>
                    <w:pStyle w:val="38"/>
                    <w:adjustRightInd w:val="0"/>
                    <w:snapToGrid w:val="0"/>
                    <w:rPr>
                      <w:rFonts w:ascii="Times New Roman" w:hAnsi="Times New Roman" w:cs="Times New Roman"/>
                      <w:i/>
                      <w:iCs/>
                      <w:color w:val="auto"/>
                      <w:sz w:val="13"/>
                      <w:szCs w:val="13"/>
                      <w:u w:val="single"/>
                    </w:rPr>
                  </w:pPr>
                  <w:r>
                    <w:rPr>
                      <w:rFonts w:hint="eastAsia" w:ascii="Times New Roman" w:hAnsi="Times New Roman" w:cs="Times New Roman"/>
                      <w:i/>
                      <w:iCs/>
                      <w:color w:val="auto"/>
                      <w:sz w:val="13"/>
                      <w:szCs w:val="13"/>
                      <w:u w:val="single"/>
                    </w:rPr>
                    <w:t>锤式破碎机</w:t>
                  </w:r>
                </w:p>
                <w:p w14:paraId="62FA276D">
                  <w:pPr>
                    <w:pStyle w:val="38"/>
                    <w:adjustRightInd w:val="0"/>
                    <w:snapToGrid w:val="0"/>
                    <w:rPr>
                      <w:rFonts w:ascii="Times New Roman" w:hAnsi="Times New Roman" w:cs="Times New Roman" w:eastAsiaTheme="minorEastAsia"/>
                      <w:i/>
                      <w:iCs/>
                      <w:color w:val="auto"/>
                      <w:kern w:val="2"/>
                      <w:sz w:val="15"/>
                      <w:szCs w:val="15"/>
                      <w:u w:val="single"/>
                    </w:rPr>
                  </w:pPr>
                </w:p>
              </w:tc>
              <w:tc>
                <w:tcPr>
                  <w:tcW w:w="398" w:type="pct"/>
                  <w:vMerge w:val="restart"/>
                  <w:tcBorders>
                    <w:tl2br w:val="nil"/>
                    <w:tr2bl w:val="nil"/>
                  </w:tcBorders>
                  <w:shd w:val="clear" w:color="auto" w:fill="auto"/>
                  <w:vAlign w:val="center"/>
                </w:tcPr>
                <w:p w14:paraId="0DCA13D4">
                  <w:pPr>
                    <w:adjustRightInd w:val="0"/>
                    <w:snapToGrid w:val="0"/>
                    <w:jc w:val="center"/>
                    <w:rPr>
                      <w:i/>
                      <w:iCs/>
                      <w:color w:val="auto"/>
                      <w:sz w:val="13"/>
                      <w:szCs w:val="13"/>
                      <w:u w:val="single"/>
                    </w:rPr>
                  </w:pPr>
                  <w:r>
                    <w:rPr>
                      <w:rFonts w:hint="eastAsia"/>
                      <w:i/>
                      <w:iCs/>
                      <w:color w:val="auto"/>
                      <w:sz w:val="13"/>
                      <w:szCs w:val="13"/>
                      <w:u w:val="single"/>
                    </w:rPr>
                    <w:t>95</w:t>
                  </w:r>
                </w:p>
                <w:p w14:paraId="1DFD2899">
                  <w:pPr>
                    <w:adjustRightInd w:val="0"/>
                    <w:snapToGrid w:val="0"/>
                    <w:jc w:val="center"/>
                    <w:rPr>
                      <w:rFonts w:eastAsiaTheme="minorEastAsia"/>
                      <w:i/>
                      <w:iCs/>
                      <w:color w:val="auto"/>
                      <w:sz w:val="15"/>
                      <w:szCs w:val="15"/>
                      <w:u w:val="single"/>
                    </w:rPr>
                  </w:pPr>
                </w:p>
              </w:tc>
              <w:tc>
                <w:tcPr>
                  <w:tcW w:w="402" w:type="pct"/>
                  <w:vMerge w:val="restart"/>
                  <w:tcBorders>
                    <w:tl2br w:val="nil"/>
                    <w:tr2bl w:val="nil"/>
                  </w:tcBorders>
                  <w:shd w:val="clear" w:color="auto" w:fill="auto"/>
                  <w:vAlign w:val="center"/>
                </w:tcPr>
                <w:p w14:paraId="4B080ADD">
                  <w:pPr>
                    <w:adjustRightInd w:val="0"/>
                    <w:snapToGrid w:val="0"/>
                    <w:jc w:val="center"/>
                    <w:rPr>
                      <w:i/>
                      <w:iCs/>
                      <w:color w:val="auto"/>
                      <w:sz w:val="15"/>
                      <w:szCs w:val="15"/>
                      <w:u w:val="single"/>
                    </w:rPr>
                  </w:pPr>
                  <w:r>
                    <w:rPr>
                      <w:rFonts w:hint="eastAsia"/>
                      <w:i/>
                      <w:iCs/>
                      <w:color w:val="auto"/>
                      <w:sz w:val="13"/>
                      <w:szCs w:val="13"/>
                      <w:u w:val="single"/>
                    </w:rPr>
                    <w:t>安装减振基座、建筑隔声</w:t>
                  </w:r>
                </w:p>
              </w:tc>
              <w:tc>
                <w:tcPr>
                  <w:tcW w:w="251" w:type="pct"/>
                  <w:vMerge w:val="restart"/>
                  <w:tcBorders>
                    <w:tl2br w:val="nil"/>
                    <w:tr2bl w:val="nil"/>
                  </w:tcBorders>
                  <w:shd w:val="clear" w:color="auto" w:fill="auto"/>
                  <w:vAlign w:val="center"/>
                </w:tcPr>
                <w:p w14:paraId="37650939">
                  <w:pPr>
                    <w:adjustRightInd w:val="0"/>
                    <w:snapToGrid w:val="0"/>
                    <w:jc w:val="center"/>
                    <w:rPr>
                      <w:i/>
                      <w:iCs/>
                      <w:color w:val="auto"/>
                      <w:sz w:val="13"/>
                      <w:szCs w:val="13"/>
                      <w:u w:val="single"/>
                    </w:rPr>
                  </w:pPr>
                  <w:r>
                    <w:rPr>
                      <w:rFonts w:hint="eastAsia"/>
                      <w:i/>
                      <w:iCs/>
                      <w:color w:val="auto"/>
                      <w:sz w:val="13"/>
                      <w:szCs w:val="13"/>
                      <w:u w:val="single"/>
                    </w:rPr>
                    <w:t>12</w:t>
                  </w:r>
                </w:p>
                <w:p w14:paraId="57CD7A03">
                  <w:pPr>
                    <w:adjustRightInd w:val="0"/>
                    <w:snapToGrid w:val="0"/>
                    <w:jc w:val="center"/>
                    <w:rPr>
                      <w:i/>
                      <w:iCs/>
                      <w:color w:val="auto"/>
                      <w:sz w:val="15"/>
                      <w:szCs w:val="15"/>
                      <w:u w:val="single"/>
                    </w:rPr>
                  </w:pPr>
                </w:p>
              </w:tc>
              <w:tc>
                <w:tcPr>
                  <w:tcW w:w="244" w:type="pct"/>
                  <w:vMerge w:val="restart"/>
                  <w:tcBorders>
                    <w:tl2br w:val="nil"/>
                    <w:tr2bl w:val="nil"/>
                  </w:tcBorders>
                  <w:shd w:val="clear" w:color="auto" w:fill="auto"/>
                  <w:vAlign w:val="center"/>
                </w:tcPr>
                <w:p w14:paraId="635BFBFA">
                  <w:pPr>
                    <w:adjustRightInd w:val="0"/>
                    <w:snapToGrid w:val="0"/>
                    <w:jc w:val="center"/>
                    <w:rPr>
                      <w:i/>
                      <w:iCs/>
                      <w:color w:val="auto"/>
                      <w:sz w:val="13"/>
                      <w:szCs w:val="13"/>
                      <w:u w:val="single"/>
                    </w:rPr>
                  </w:pPr>
                  <w:r>
                    <w:rPr>
                      <w:rFonts w:hint="eastAsia"/>
                      <w:i/>
                      <w:iCs/>
                      <w:color w:val="auto"/>
                      <w:sz w:val="13"/>
                      <w:szCs w:val="13"/>
                      <w:u w:val="single"/>
                    </w:rPr>
                    <w:t>12</w:t>
                  </w:r>
                </w:p>
                <w:p w14:paraId="7B2AE803">
                  <w:pPr>
                    <w:adjustRightInd w:val="0"/>
                    <w:snapToGrid w:val="0"/>
                    <w:jc w:val="center"/>
                    <w:rPr>
                      <w:i/>
                      <w:iCs/>
                      <w:color w:val="auto"/>
                      <w:sz w:val="15"/>
                      <w:szCs w:val="15"/>
                      <w:u w:val="single"/>
                    </w:rPr>
                  </w:pPr>
                </w:p>
              </w:tc>
              <w:tc>
                <w:tcPr>
                  <w:tcW w:w="309" w:type="pct"/>
                  <w:vMerge w:val="restart"/>
                  <w:tcBorders>
                    <w:tl2br w:val="nil"/>
                    <w:tr2bl w:val="nil"/>
                  </w:tcBorders>
                  <w:shd w:val="clear" w:color="auto" w:fill="auto"/>
                  <w:vAlign w:val="center"/>
                </w:tcPr>
                <w:p w14:paraId="1BD631FE">
                  <w:pPr>
                    <w:adjustRightInd w:val="0"/>
                    <w:snapToGrid w:val="0"/>
                    <w:jc w:val="center"/>
                    <w:rPr>
                      <w:i/>
                      <w:iCs/>
                      <w:color w:val="auto"/>
                      <w:sz w:val="13"/>
                      <w:szCs w:val="13"/>
                      <w:u w:val="single"/>
                    </w:rPr>
                  </w:pPr>
                  <w:r>
                    <w:rPr>
                      <w:rFonts w:hint="eastAsia"/>
                      <w:i/>
                      <w:iCs/>
                      <w:color w:val="auto"/>
                      <w:sz w:val="13"/>
                      <w:szCs w:val="13"/>
                      <w:u w:val="single"/>
                    </w:rPr>
                    <w:t>4</w:t>
                  </w:r>
                </w:p>
                <w:p w14:paraId="0DB4F91E">
                  <w:pPr>
                    <w:adjustRightInd w:val="0"/>
                    <w:snapToGrid w:val="0"/>
                    <w:jc w:val="center"/>
                    <w:rPr>
                      <w:i/>
                      <w:iCs/>
                      <w:color w:val="auto"/>
                      <w:sz w:val="15"/>
                      <w:szCs w:val="15"/>
                      <w:u w:val="single"/>
                    </w:rPr>
                  </w:pPr>
                </w:p>
              </w:tc>
              <w:tc>
                <w:tcPr>
                  <w:tcW w:w="564" w:type="pct"/>
                  <w:tcBorders>
                    <w:tl2br w:val="nil"/>
                    <w:tr2bl w:val="nil"/>
                  </w:tcBorders>
                  <w:shd w:val="clear" w:color="auto" w:fill="auto"/>
                  <w:vAlign w:val="center"/>
                </w:tcPr>
                <w:p w14:paraId="0E0873FF">
                  <w:pPr>
                    <w:adjustRightInd w:val="0"/>
                    <w:snapToGrid w:val="0"/>
                    <w:jc w:val="center"/>
                    <w:rPr>
                      <w:i/>
                      <w:iCs/>
                      <w:color w:val="auto"/>
                      <w:sz w:val="13"/>
                      <w:szCs w:val="13"/>
                      <w:u w:val="single"/>
                    </w:rPr>
                  </w:pPr>
                  <w:r>
                    <w:rPr>
                      <w:rFonts w:hint="eastAsia"/>
                      <w:i/>
                      <w:iCs/>
                      <w:color w:val="auto"/>
                      <w:sz w:val="13"/>
                      <w:szCs w:val="13"/>
                      <w:u w:val="single"/>
                    </w:rPr>
                    <w:t>东，13m</w:t>
                  </w:r>
                </w:p>
              </w:tc>
              <w:tc>
                <w:tcPr>
                  <w:tcW w:w="489" w:type="pct"/>
                  <w:tcBorders>
                    <w:tl2br w:val="nil"/>
                    <w:tr2bl w:val="nil"/>
                  </w:tcBorders>
                  <w:shd w:val="clear" w:color="auto" w:fill="auto"/>
                  <w:vAlign w:val="center"/>
                </w:tcPr>
                <w:p w14:paraId="7C0490F0">
                  <w:pPr>
                    <w:adjustRightInd w:val="0"/>
                    <w:snapToGrid w:val="0"/>
                    <w:jc w:val="center"/>
                    <w:rPr>
                      <w:i/>
                      <w:iCs/>
                      <w:color w:val="auto"/>
                      <w:sz w:val="13"/>
                      <w:szCs w:val="13"/>
                      <w:u w:val="single"/>
                    </w:rPr>
                  </w:pPr>
                  <w:r>
                    <w:rPr>
                      <w:rFonts w:hint="eastAsia"/>
                      <w:i/>
                      <w:iCs/>
                      <w:color w:val="auto"/>
                      <w:sz w:val="13"/>
                      <w:szCs w:val="13"/>
                      <w:u w:val="single"/>
                    </w:rPr>
                    <w:t>73</w:t>
                  </w:r>
                </w:p>
              </w:tc>
              <w:tc>
                <w:tcPr>
                  <w:tcW w:w="399" w:type="pct"/>
                  <w:vMerge w:val="restart"/>
                  <w:tcBorders>
                    <w:tl2br w:val="nil"/>
                    <w:tr2bl w:val="nil"/>
                  </w:tcBorders>
                  <w:shd w:val="clear" w:color="auto" w:fill="auto"/>
                  <w:vAlign w:val="center"/>
                </w:tcPr>
                <w:p w14:paraId="7837DDA5">
                  <w:pPr>
                    <w:adjustRightInd w:val="0"/>
                    <w:snapToGrid w:val="0"/>
                    <w:jc w:val="center"/>
                    <w:rPr>
                      <w:i/>
                      <w:iCs/>
                      <w:color w:val="auto"/>
                      <w:sz w:val="13"/>
                      <w:szCs w:val="13"/>
                      <w:u w:val="single"/>
                    </w:rPr>
                  </w:pPr>
                  <w:r>
                    <w:rPr>
                      <w:rFonts w:hint="eastAsia"/>
                      <w:i/>
                      <w:iCs/>
                      <w:color w:val="auto"/>
                      <w:sz w:val="13"/>
                      <w:szCs w:val="13"/>
                      <w:u w:val="single"/>
                    </w:rPr>
                    <w:t>16h/d</w:t>
                  </w:r>
                </w:p>
                <w:p w14:paraId="5738500B">
                  <w:pPr>
                    <w:adjustRightInd w:val="0"/>
                    <w:snapToGrid w:val="0"/>
                    <w:jc w:val="center"/>
                    <w:rPr>
                      <w:i/>
                      <w:iCs/>
                      <w:color w:val="auto"/>
                      <w:sz w:val="15"/>
                      <w:szCs w:val="15"/>
                      <w:u w:val="single"/>
                    </w:rPr>
                  </w:pPr>
                </w:p>
              </w:tc>
              <w:tc>
                <w:tcPr>
                  <w:tcW w:w="476" w:type="pct"/>
                  <w:vMerge w:val="restart"/>
                  <w:tcBorders>
                    <w:tl2br w:val="nil"/>
                    <w:tr2bl w:val="nil"/>
                  </w:tcBorders>
                  <w:shd w:val="clear" w:color="auto" w:fill="auto"/>
                  <w:vAlign w:val="center"/>
                </w:tcPr>
                <w:p w14:paraId="30EB0F8A">
                  <w:pPr>
                    <w:adjustRightInd w:val="0"/>
                    <w:snapToGrid w:val="0"/>
                    <w:jc w:val="center"/>
                    <w:rPr>
                      <w:i/>
                      <w:iCs/>
                      <w:color w:val="auto"/>
                      <w:sz w:val="13"/>
                      <w:szCs w:val="13"/>
                      <w:u w:val="single"/>
                    </w:rPr>
                  </w:pPr>
                  <w:r>
                    <w:rPr>
                      <w:rFonts w:hint="eastAsia"/>
                      <w:i/>
                      <w:iCs/>
                      <w:color w:val="auto"/>
                      <w:sz w:val="13"/>
                      <w:szCs w:val="13"/>
                      <w:u w:val="single"/>
                    </w:rPr>
                    <w:t>20</w:t>
                  </w:r>
                </w:p>
                <w:p w14:paraId="6F67A8FA">
                  <w:pPr>
                    <w:adjustRightInd w:val="0"/>
                    <w:snapToGrid w:val="0"/>
                    <w:jc w:val="center"/>
                    <w:rPr>
                      <w:i/>
                      <w:iCs/>
                      <w:color w:val="auto"/>
                      <w:sz w:val="15"/>
                      <w:szCs w:val="15"/>
                      <w:u w:val="single"/>
                    </w:rPr>
                  </w:pPr>
                </w:p>
              </w:tc>
              <w:tc>
                <w:tcPr>
                  <w:tcW w:w="398" w:type="pct"/>
                  <w:tcBorders>
                    <w:tl2br w:val="nil"/>
                    <w:tr2bl w:val="nil"/>
                  </w:tcBorders>
                  <w:shd w:val="clear" w:color="auto" w:fill="auto"/>
                  <w:vAlign w:val="center"/>
                </w:tcPr>
                <w:p w14:paraId="4F98E6AA">
                  <w:pPr>
                    <w:adjustRightInd w:val="0"/>
                    <w:snapToGrid w:val="0"/>
                    <w:jc w:val="center"/>
                    <w:rPr>
                      <w:i/>
                      <w:iCs/>
                      <w:color w:val="auto"/>
                      <w:sz w:val="13"/>
                      <w:szCs w:val="13"/>
                      <w:u w:val="single"/>
                    </w:rPr>
                  </w:pPr>
                  <w:r>
                    <w:rPr>
                      <w:rFonts w:hint="eastAsia"/>
                      <w:i/>
                      <w:iCs/>
                      <w:color w:val="auto"/>
                      <w:sz w:val="13"/>
                      <w:szCs w:val="13"/>
                      <w:u w:val="single"/>
                    </w:rPr>
                    <w:t>53</w:t>
                  </w:r>
                </w:p>
              </w:tc>
              <w:tc>
                <w:tcPr>
                  <w:tcW w:w="332" w:type="pct"/>
                  <w:tcBorders>
                    <w:tl2br w:val="nil"/>
                    <w:tr2bl w:val="nil"/>
                  </w:tcBorders>
                  <w:shd w:val="clear" w:color="auto" w:fill="auto"/>
                  <w:vAlign w:val="center"/>
                </w:tcPr>
                <w:p w14:paraId="7593EC49">
                  <w:pPr>
                    <w:adjustRightInd w:val="0"/>
                    <w:snapToGrid w:val="0"/>
                    <w:jc w:val="center"/>
                    <w:rPr>
                      <w:i/>
                      <w:iCs/>
                      <w:color w:val="auto"/>
                      <w:sz w:val="13"/>
                      <w:szCs w:val="13"/>
                      <w:u w:val="single"/>
                    </w:rPr>
                  </w:pPr>
                  <w:r>
                    <w:rPr>
                      <w:rFonts w:hint="eastAsia"/>
                      <w:i/>
                      <w:iCs/>
                      <w:color w:val="auto"/>
                      <w:sz w:val="13"/>
                      <w:szCs w:val="13"/>
                      <w:u w:val="single"/>
                    </w:rPr>
                    <w:t>1m</w:t>
                  </w:r>
                </w:p>
              </w:tc>
            </w:tr>
            <w:tr w14:paraId="19E311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333" w:type="pct"/>
                  <w:vMerge w:val="continue"/>
                  <w:tcBorders>
                    <w:tl2br w:val="nil"/>
                    <w:tr2bl w:val="nil"/>
                  </w:tcBorders>
                  <w:vAlign w:val="center"/>
                </w:tcPr>
                <w:p w14:paraId="3339EE41">
                  <w:pPr>
                    <w:adjustRightInd w:val="0"/>
                    <w:snapToGrid w:val="0"/>
                    <w:jc w:val="center"/>
                    <w:rPr>
                      <w:i/>
                      <w:iCs/>
                      <w:color w:val="auto"/>
                      <w:sz w:val="15"/>
                      <w:szCs w:val="15"/>
                      <w:u w:val="single"/>
                    </w:rPr>
                  </w:pPr>
                </w:p>
              </w:tc>
              <w:tc>
                <w:tcPr>
                  <w:tcW w:w="399" w:type="pct"/>
                  <w:vMerge w:val="continue"/>
                  <w:tcBorders>
                    <w:tl2br w:val="nil"/>
                    <w:tr2bl w:val="nil"/>
                  </w:tcBorders>
                  <w:vAlign w:val="center"/>
                </w:tcPr>
                <w:p w14:paraId="2F3AF807">
                  <w:pPr>
                    <w:adjustRightInd w:val="0"/>
                    <w:snapToGrid w:val="0"/>
                    <w:jc w:val="center"/>
                    <w:rPr>
                      <w:rFonts w:eastAsiaTheme="minorEastAsia"/>
                      <w:i/>
                      <w:iCs/>
                      <w:color w:val="auto"/>
                      <w:kern w:val="2"/>
                      <w:sz w:val="15"/>
                      <w:szCs w:val="15"/>
                      <w:u w:val="single"/>
                    </w:rPr>
                  </w:pPr>
                </w:p>
              </w:tc>
              <w:tc>
                <w:tcPr>
                  <w:tcW w:w="398" w:type="pct"/>
                  <w:vMerge w:val="continue"/>
                  <w:tcBorders>
                    <w:tl2br w:val="nil"/>
                    <w:tr2bl w:val="nil"/>
                  </w:tcBorders>
                  <w:vAlign w:val="center"/>
                </w:tcPr>
                <w:p w14:paraId="03DED358">
                  <w:pPr>
                    <w:adjustRightInd w:val="0"/>
                    <w:snapToGrid w:val="0"/>
                    <w:jc w:val="center"/>
                    <w:rPr>
                      <w:i/>
                      <w:iCs/>
                      <w:color w:val="auto"/>
                      <w:sz w:val="15"/>
                      <w:szCs w:val="15"/>
                      <w:u w:val="single"/>
                    </w:rPr>
                  </w:pPr>
                </w:p>
              </w:tc>
              <w:tc>
                <w:tcPr>
                  <w:tcW w:w="402" w:type="pct"/>
                  <w:vMerge w:val="continue"/>
                  <w:tcBorders>
                    <w:tl2br w:val="nil"/>
                    <w:tr2bl w:val="nil"/>
                  </w:tcBorders>
                  <w:vAlign w:val="center"/>
                </w:tcPr>
                <w:p w14:paraId="24B051C6">
                  <w:pPr>
                    <w:adjustRightInd w:val="0"/>
                    <w:snapToGrid w:val="0"/>
                    <w:jc w:val="center"/>
                    <w:rPr>
                      <w:i/>
                      <w:iCs/>
                      <w:color w:val="auto"/>
                      <w:sz w:val="15"/>
                      <w:szCs w:val="15"/>
                      <w:u w:val="single"/>
                    </w:rPr>
                  </w:pPr>
                </w:p>
              </w:tc>
              <w:tc>
                <w:tcPr>
                  <w:tcW w:w="251" w:type="pct"/>
                  <w:vMerge w:val="continue"/>
                  <w:tcBorders>
                    <w:tl2br w:val="nil"/>
                    <w:tr2bl w:val="nil"/>
                  </w:tcBorders>
                  <w:vAlign w:val="center"/>
                </w:tcPr>
                <w:p w14:paraId="5104564D">
                  <w:pPr>
                    <w:adjustRightInd w:val="0"/>
                    <w:snapToGrid w:val="0"/>
                    <w:jc w:val="center"/>
                    <w:rPr>
                      <w:i/>
                      <w:iCs/>
                      <w:color w:val="auto"/>
                      <w:sz w:val="15"/>
                      <w:szCs w:val="15"/>
                      <w:u w:val="single"/>
                    </w:rPr>
                  </w:pPr>
                </w:p>
              </w:tc>
              <w:tc>
                <w:tcPr>
                  <w:tcW w:w="244" w:type="pct"/>
                  <w:vMerge w:val="continue"/>
                  <w:tcBorders>
                    <w:tl2br w:val="nil"/>
                    <w:tr2bl w:val="nil"/>
                  </w:tcBorders>
                  <w:vAlign w:val="center"/>
                </w:tcPr>
                <w:p w14:paraId="2AF572A7">
                  <w:pPr>
                    <w:adjustRightInd w:val="0"/>
                    <w:snapToGrid w:val="0"/>
                    <w:jc w:val="center"/>
                    <w:rPr>
                      <w:i/>
                      <w:iCs/>
                      <w:color w:val="auto"/>
                      <w:sz w:val="15"/>
                      <w:szCs w:val="15"/>
                      <w:u w:val="single"/>
                    </w:rPr>
                  </w:pPr>
                </w:p>
              </w:tc>
              <w:tc>
                <w:tcPr>
                  <w:tcW w:w="309" w:type="pct"/>
                  <w:vMerge w:val="continue"/>
                  <w:tcBorders>
                    <w:tl2br w:val="nil"/>
                    <w:tr2bl w:val="nil"/>
                  </w:tcBorders>
                  <w:vAlign w:val="center"/>
                </w:tcPr>
                <w:p w14:paraId="2E1AC20F">
                  <w:pPr>
                    <w:adjustRightInd w:val="0"/>
                    <w:snapToGrid w:val="0"/>
                    <w:jc w:val="center"/>
                    <w:rPr>
                      <w:i/>
                      <w:iCs/>
                      <w:color w:val="auto"/>
                      <w:sz w:val="15"/>
                      <w:szCs w:val="15"/>
                      <w:u w:val="single"/>
                    </w:rPr>
                  </w:pPr>
                </w:p>
              </w:tc>
              <w:tc>
                <w:tcPr>
                  <w:tcW w:w="564" w:type="pct"/>
                  <w:tcBorders>
                    <w:tl2br w:val="nil"/>
                    <w:tr2bl w:val="nil"/>
                  </w:tcBorders>
                  <w:shd w:val="clear" w:color="auto" w:fill="auto"/>
                  <w:vAlign w:val="center"/>
                </w:tcPr>
                <w:p w14:paraId="3CDDB3D9">
                  <w:pPr>
                    <w:adjustRightInd w:val="0"/>
                    <w:snapToGrid w:val="0"/>
                    <w:jc w:val="center"/>
                    <w:rPr>
                      <w:i/>
                      <w:iCs/>
                      <w:color w:val="auto"/>
                      <w:sz w:val="13"/>
                      <w:szCs w:val="13"/>
                      <w:u w:val="single"/>
                    </w:rPr>
                  </w:pPr>
                  <w:r>
                    <w:rPr>
                      <w:rFonts w:hint="eastAsia"/>
                      <w:i/>
                      <w:iCs/>
                      <w:color w:val="auto"/>
                      <w:sz w:val="13"/>
                      <w:szCs w:val="13"/>
                      <w:u w:val="single"/>
                    </w:rPr>
                    <w:t>南，12m</w:t>
                  </w:r>
                </w:p>
              </w:tc>
              <w:tc>
                <w:tcPr>
                  <w:tcW w:w="489" w:type="pct"/>
                  <w:tcBorders>
                    <w:tl2br w:val="nil"/>
                    <w:tr2bl w:val="nil"/>
                  </w:tcBorders>
                  <w:shd w:val="clear" w:color="auto" w:fill="auto"/>
                  <w:vAlign w:val="center"/>
                </w:tcPr>
                <w:p w14:paraId="31990A91">
                  <w:pPr>
                    <w:adjustRightInd w:val="0"/>
                    <w:snapToGrid w:val="0"/>
                    <w:jc w:val="center"/>
                    <w:rPr>
                      <w:i/>
                      <w:iCs/>
                      <w:color w:val="auto"/>
                      <w:sz w:val="13"/>
                      <w:szCs w:val="13"/>
                      <w:u w:val="single"/>
                    </w:rPr>
                  </w:pPr>
                  <w:r>
                    <w:rPr>
                      <w:rFonts w:hint="eastAsia"/>
                      <w:i/>
                      <w:iCs/>
                      <w:color w:val="auto"/>
                      <w:sz w:val="13"/>
                      <w:szCs w:val="13"/>
                      <w:u w:val="single"/>
                    </w:rPr>
                    <w:t>73</w:t>
                  </w:r>
                </w:p>
              </w:tc>
              <w:tc>
                <w:tcPr>
                  <w:tcW w:w="399" w:type="pct"/>
                  <w:vMerge w:val="continue"/>
                  <w:tcBorders>
                    <w:tl2br w:val="nil"/>
                    <w:tr2bl w:val="nil"/>
                  </w:tcBorders>
                  <w:vAlign w:val="center"/>
                </w:tcPr>
                <w:p w14:paraId="78834289">
                  <w:pPr>
                    <w:adjustRightInd w:val="0"/>
                    <w:snapToGrid w:val="0"/>
                    <w:jc w:val="center"/>
                    <w:rPr>
                      <w:i/>
                      <w:iCs/>
                      <w:color w:val="auto"/>
                      <w:sz w:val="15"/>
                      <w:szCs w:val="15"/>
                      <w:u w:val="single"/>
                    </w:rPr>
                  </w:pPr>
                </w:p>
              </w:tc>
              <w:tc>
                <w:tcPr>
                  <w:tcW w:w="476" w:type="pct"/>
                  <w:vMerge w:val="continue"/>
                  <w:tcBorders>
                    <w:tl2br w:val="nil"/>
                    <w:tr2bl w:val="nil"/>
                  </w:tcBorders>
                  <w:vAlign w:val="center"/>
                </w:tcPr>
                <w:p w14:paraId="7549270A">
                  <w:pPr>
                    <w:adjustRightInd w:val="0"/>
                    <w:snapToGrid w:val="0"/>
                    <w:jc w:val="center"/>
                    <w:rPr>
                      <w:i/>
                      <w:iCs/>
                      <w:color w:val="auto"/>
                      <w:sz w:val="15"/>
                      <w:szCs w:val="15"/>
                      <w:u w:val="single"/>
                    </w:rPr>
                  </w:pPr>
                </w:p>
              </w:tc>
              <w:tc>
                <w:tcPr>
                  <w:tcW w:w="398" w:type="pct"/>
                  <w:tcBorders>
                    <w:tl2br w:val="nil"/>
                    <w:tr2bl w:val="nil"/>
                  </w:tcBorders>
                  <w:shd w:val="clear" w:color="auto" w:fill="auto"/>
                  <w:vAlign w:val="center"/>
                </w:tcPr>
                <w:p w14:paraId="2508B588">
                  <w:pPr>
                    <w:adjustRightInd w:val="0"/>
                    <w:snapToGrid w:val="0"/>
                    <w:jc w:val="center"/>
                    <w:rPr>
                      <w:i/>
                      <w:iCs/>
                      <w:color w:val="auto"/>
                      <w:sz w:val="13"/>
                      <w:szCs w:val="13"/>
                      <w:u w:val="single"/>
                    </w:rPr>
                  </w:pPr>
                  <w:r>
                    <w:rPr>
                      <w:rFonts w:hint="eastAsia"/>
                      <w:i/>
                      <w:iCs/>
                      <w:color w:val="auto"/>
                      <w:sz w:val="13"/>
                      <w:szCs w:val="13"/>
                      <w:u w:val="single"/>
                    </w:rPr>
                    <w:t>53</w:t>
                  </w:r>
                </w:p>
              </w:tc>
              <w:tc>
                <w:tcPr>
                  <w:tcW w:w="332" w:type="pct"/>
                  <w:tcBorders>
                    <w:tl2br w:val="nil"/>
                    <w:tr2bl w:val="nil"/>
                  </w:tcBorders>
                  <w:shd w:val="clear" w:color="auto" w:fill="auto"/>
                  <w:vAlign w:val="center"/>
                </w:tcPr>
                <w:p w14:paraId="6882FD34">
                  <w:pPr>
                    <w:adjustRightInd w:val="0"/>
                    <w:snapToGrid w:val="0"/>
                    <w:jc w:val="center"/>
                    <w:rPr>
                      <w:i/>
                      <w:iCs/>
                      <w:color w:val="auto"/>
                      <w:sz w:val="13"/>
                      <w:szCs w:val="13"/>
                      <w:u w:val="single"/>
                    </w:rPr>
                  </w:pPr>
                  <w:r>
                    <w:rPr>
                      <w:rFonts w:hint="eastAsia"/>
                      <w:i/>
                      <w:iCs/>
                      <w:color w:val="auto"/>
                      <w:sz w:val="13"/>
                      <w:szCs w:val="13"/>
                      <w:u w:val="single"/>
                    </w:rPr>
                    <w:t>1m</w:t>
                  </w:r>
                </w:p>
              </w:tc>
            </w:tr>
            <w:tr w14:paraId="447A42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333" w:type="pct"/>
                  <w:vMerge w:val="continue"/>
                  <w:tcBorders>
                    <w:tl2br w:val="nil"/>
                    <w:tr2bl w:val="nil"/>
                  </w:tcBorders>
                  <w:vAlign w:val="center"/>
                </w:tcPr>
                <w:p w14:paraId="1E163051">
                  <w:pPr>
                    <w:adjustRightInd w:val="0"/>
                    <w:snapToGrid w:val="0"/>
                    <w:jc w:val="center"/>
                    <w:rPr>
                      <w:i/>
                      <w:iCs/>
                      <w:color w:val="auto"/>
                      <w:sz w:val="15"/>
                      <w:szCs w:val="15"/>
                      <w:u w:val="single"/>
                    </w:rPr>
                  </w:pPr>
                </w:p>
              </w:tc>
              <w:tc>
                <w:tcPr>
                  <w:tcW w:w="399" w:type="pct"/>
                  <w:vMerge w:val="continue"/>
                  <w:tcBorders>
                    <w:tl2br w:val="nil"/>
                    <w:tr2bl w:val="nil"/>
                  </w:tcBorders>
                  <w:vAlign w:val="center"/>
                </w:tcPr>
                <w:p w14:paraId="2CBDDA35">
                  <w:pPr>
                    <w:adjustRightInd w:val="0"/>
                    <w:snapToGrid w:val="0"/>
                    <w:jc w:val="center"/>
                    <w:rPr>
                      <w:rFonts w:eastAsiaTheme="minorEastAsia"/>
                      <w:i/>
                      <w:iCs/>
                      <w:color w:val="auto"/>
                      <w:kern w:val="2"/>
                      <w:sz w:val="15"/>
                      <w:szCs w:val="15"/>
                      <w:u w:val="single"/>
                    </w:rPr>
                  </w:pPr>
                </w:p>
              </w:tc>
              <w:tc>
                <w:tcPr>
                  <w:tcW w:w="398" w:type="pct"/>
                  <w:vMerge w:val="continue"/>
                  <w:tcBorders>
                    <w:tl2br w:val="nil"/>
                    <w:tr2bl w:val="nil"/>
                  </w:tcBorders>
                  <w:vAlign w:val="center"/>
                </w:tcPr>
                <w:p w14:paraId="2C5EB6D7">
                  <w:pPr>
                    <w:adjustRightInd w:val="0"/>
                    <w:snapToGrid w:val="0"/>
                    <w:jc w:val="center"/>
                    <w:rPr>
                      <w:i/>
                      <w:iCs/>
                      <w:color w:val="auto"/>
                      <w:sz w:val="15"/>
                      <w:szCs w:val="15"/>
                      <w:u w:val="single"/>
                    </w:rPr>
                  </w:pPr>
                </w:p>
              </w:tc>
              <w:tc>
                <w:tcPr>
                  <w:tcW w:w="402" w:type="pct"/>
                  <w:vMerge w:val="continue"/>
                  <w:tcBorders>
                    <w:tl2br w:val="nil"/>
                    <w:tr2bl w:val="nil"/>
                  </w:tcBorders>
                  <w:vAlign w:val="center"/>
                </w:tcPr>
                <w:p w14:paraId="5604D02A">
                  <w:pPr>
                    <w:adjustRightInd w:val="0"/>
                    <w:snapToGrid w:val="0"/>
                    <w:jc w:val="center"/>
                    <w:rPr>
                      <w:i/>
                      <w:iCs/>
                      <w:color w:val="auto"/>
                      <w:sz w:val="15"/>
                      <w:szCs w:val="15"/>
                      <w:u w:val="single"/>
                    </w:rPr>
                  </w:pPr>
                </w:p>
              </w:tc>
              <w:tc>
                <w:tcPr>
                  <w:tcW w:w="251" w:type="pct"/>
                  <w:vMerge w:val="continue"/>
                  <w:tcBorders>
                    <w:tl2br w:val="nil"/>
                    <w:tr2bl w:val="nil"/>
                  </w:tcBorders>
                  <w:vAlign w:val="center"/>
                </w:tcPr>
                <w:p w14:paraId="2C2F4DFA">
                  <w:pPr>
                    <w:adjustRightInd w:val="0"/>
                    <w:snapToGrid w:val="0"/>
                    <w:jc w:val="center"/>
                    <w:rPr>
                      <w:i/>
                      <w:iCs/>
                      <w:color w:val="auto"/>
                      <w:sz w:val="15"/>
                      <w:szCs w:val="15"/>
                      <w:u w:val="single"/>
                    </w:rPr>
                  </w:pPr>
                </w:p>
              </w:tc>
              <w:tc>
                <w:tcPr>
                  <w:tcW w:w="244" w:type="pct"/>
                  <w:vMerge w:val="continue"/>
                  <w:tcBorders>
                    <w:tl2br w:val="nil"/>
                    <w:tr2bl w:val="nil"/>
                  </w:tcBorders>
                  <w:vAlign w:val="center"/>
                </w:tcPr>
                <w:p w14:paraId="7AC5DC77">
                  <w:pPr>
                    <w:adjustRightInd w:val="0"/>
                    <w:snapToGrid w:val="0"/>
                    <w:jc w:val="center"/>
                    <w:rPr>
                      <w:i/>
                      <w:iCs/>
                      <w:color w:val="auto"/>
                      <w:sz w:val="15"/>
                      <w:szCs w:val="15"/>
                      <w:u w:val="single"/>
                    </w:rPr>
                  </w:pPr>
                </w:p>
              </w:tc>
              <w:tc>
                <w:tcPr>
                  <w:tcW w:w="309" w:type="pct"/>
                  <w:vMerge w:val="continue"/>
                  <w:tcBorders>
                    <w:tl2br w:val="nil"/>
                    <w:tr2bl w:val="nil"/>
                  </w:tcBorders>
                  <w:vAlign w:val="center"/>
                </w:tcPr>
                <w:p w14:paraId="4C69E70B">
                  <w:pPr>
                    <w:adjustRightInd w:val="0"/>
                    <w:snapToGrid w:val="0"/>
                    <w:jc w:val="center"/>
                    <w:rPr>
                      <w:i/>
                      <w:iCs/>
                      <w:color w:val="auto"/>
                      <w:sz w:val="15"/>
                      <w:szCs w:val="15"/>
                      <w:u w:val="single"/>
                    </w:rPr>
                  </w:pPr>
                </w:p>
              </w:tc>
              <w:tc>
                <w:tcPr>
                  <w:tcW w:w="564" w:type="pct"/>
                  <w:tcBorders>
                    <w:tl2br w:val="nil"/>
                    <w:tr2bl w:val="nil"/>
                  </w:tcBorders>
                  <w:shd w:val="clear" w:color="auto" w:fill="auto"/>
                  <w:vAlign w:val="center"/>
                </w:tcPr>
                <w:p w14:paraId="12C5876E">
                  <w:pPr>
                    <w:adjustRightInd w:val="0"/>
                    <w:snapToGrid w:val="0"/>
                    <w:jc w:val="center"/>
                    <w:rPr>
                      <w:i/>
                      <w:iCs/>
                      <w:color w:val="auto"/>
                      <w:sz w:val="13"/>
                      <w:szCs w:val="13"/>
                      <w:u w:val="single"/>
                    </w:rPr>
                  </w:pPr>
                  <w:r>
                    <w:rPr>
                      <w:rFonts w:hint="eastAsia"/>
                      <w:i/>
                      <w:iCs/>
                      <w:color w:val="auto"/>
                      <w:sz w:val="13"/>
                      <w:szCs w:val="13"/>
                      <w:u w:val="single"/>
                    </w:rPr>
                    <w:t>西，12m</w:t>
                  </w:r>
                </w:p>
              </w:tc>
              <w:tc>
                <w:tcPr>
                  <w:tcW w:w="489" w:type="pct"/>
                  <w:tcBorders>
                    <w:tl2br w:val="nil"/>
                    <w:tr2bl w:val="nil"/>
                  </w:tcBorders>
                  <w:shd w:val="clear" w:color="auto" w:fill="auto"/>
                  <w:vAlign w:val="center"/>
                </w:tcPr>
                <w:p w14:paraId="18B89898">
                  <w:pPr>
                    <w:adjustRightInd w:val="0"/>
                    <w:snapToGrid w:val="0"/>
                    <w:jc w:val="center"/>
                    <w:rPr>
                      <w:i/>
                      <w:iCs/>
                      <w:color w:val="auto"/>
                      <w:sz w:val="13"/>
                      <w:szCs w:val="13"/>
                      <w:u w:val="single"/>
                    </w:rPr>
                  </w:pPr>
                  <w:r>
                    <w:rPr>
                      <w:rFonts w:hint="eastAsia"/>
                      <w:i/>
                      <w:iCs/>
                      <w:color w:val="auto"/>
                      <w:sz w:val="13"/>
                      <w:szCs w:val="13"/>
                      <w:u w:val="single"/>
                    </w:rPr>
                    <w:t>73</w:t>
                  </w:r>
                </w:p>
              </w:tc>
              <w:tc>
                <w:tcPr>
                  <w:tcW w:w="399" w:type="pct"/>
                  <w:vMerge w:val="continue"/>
                  <w:tcBorders>
                    <w:tl2br w:val="nil"/>
                    <w:tr2bl w:val="nil"/>
                  </w:tcBorders>
                  <w:vAlign w:val="center"/>
                </w:tcPr>
                <w:p w14:paraId="231FED17">
                  <w:pPr>
                    <w:adjustRightInd w:val="0"/>
                    <w:snapToGrid w:val="0"/>
                    <w:jc w:val="center"/>
                    <w:rPr>
                      <w:i/>
                      <w:iCs/>
                      <w:color w:val="auto"/>
                      <w:sz w:val="15"/>
                      <w:szCs w:val="15"/>
                      <w:u w:val="single"/>
                    </w:rPr>
                  </w:pPr>
                </w:p>
              </w:tc>
              <w:tc>
                <w:tcPr>
                  <w:tcW w:w="476" w:type="pct"/>
                  <w:vMerge w:val="continue"/>
                  <w:tcBorders>
                    <w:tl2br w:val="nil"/>
                    <w:tr2bl w:val="nil"/>
                  </w:tcBorders>
                  <w:vAlign w:val="center"/>
                </w:tcPr>
                <w:p w14:paraId="36DEAD2B">
                  <w:pPr>
                    <w:adjustRightInd w:val="0"/>
                    <w:snapToGrid w:val="0"/>
                    <w:jc w:val="center"/>
                    <w:rPr>
                      <w:i/>
                      <w:iCs/>
                      <w:color w:val="auto"/>
                      <w:sz w:val="15"/>
                      <w:szCs w:val="15"/>
                      <w:u w:val="single"/>
                    </w:rPr>
                  </w:pPr>
                </w:p>
              </w:tc>
              <w:tc>
                <w:tcPr>
                  <w:tcW w:w="398" w:type="pct"/>
                  <w:tcBorders>
                    <w:tl2br w:val="nil"/>
                    <w:tr2bl w:val="nil"/>
                  </w:tcBorders>
                  <w:shd w:val="clear" w:color="auto" w:fill="auto"/>
                  <w:vAlign w:val="center"/>
                </w:tcPr>
                <w:p w14:paraId="24F63CFC">
                  <w:pPr>
                    <w:adjustRightInd w:val="0"/>
                    <w:snapToGrid w:val="0"/>
                    <w:jc w:val="center"/>
                    <w:rPr>
                      <w:i/>
                      <w:iCs/>
                      <w:color w:val="auto"/>
                      <w:sz w:val="13"/>
                      <w:szCs w:val="13"/>
                      <w:u w:val="single"/>
                    </w:rPr>
                  </w:pPr>
                  <w:r>
                    <w:rPr>
                      <w:rFonts w:hint="eastAsia"/>
                      <w:i/>
                      <w:iCs/>
                      <w:color w:val="auto"/>
                      <w:sz w:val="13"/>
                      <w:szCs w:val="13"/>
                      <w:u w:val="single"/>
                    </w:rPr>
                    <w:t>53</w:t>
                  </w:r>
                </w:p>
              </w:tc>
              <w:tc>
                <w:tcPr>
                  <w:tcW w:w="332" w:type="pct"/>
                  <w:tcBorders>
                    <w:tl2br w:val="nil"/>
                    <w:tr2bl w:val="nil"/>
                  </w:tcBorders>
                  <w:shd w:val="clear" w:color="auto" w:fill="auto"/>
                  <w:vAlign w:val="center"/>
                </w:tcPr>
                <w:p w14:paraId="2FC7901C">
                  <w:pPr>
                    <w:adjustRightInd w:val="0"/>
                    <w:snapToGrid w:val="0"/>
                    <w:jc w:val="center"/>
                    <w:rPr>
                      <w:i/>
                      <w:iCs/>
                      <w:color w:val="auto"/>
                      <w:sz w:val="13"/>
                      <w:szCs w:val="13"/>
                      <w:u w:val="single"/>
                    </w:rPr>
                  </w:pPr>
                  <w:r>
                    <w:rPr>
                      <w:rFonts w:hint="eastAsia"/>
                      <w:i/>
                      <w:iCs/>
                      <w:color w:val="auto"/>
                      <w:sz w:val="13"/>
                      <w:szCs w:val="13"/>
                      <w:u w:val="single"/>
                    </w:rPr>
                    <w:t>1m</w:t>
                  </w:r>
                </w:p>
              </w:tc>
            </w:tr>
            <w:tr w14:paraId="6A195F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333" w:type="pct"/>
                  <w:vMerge w:val="continue"/>
                  <w:tcBorders>
                    <w:tl2br w:val="nil"/>
                    <w:tr2bl w:val="nil"/>
                  </w:tcBorders>
                  <w:vAlign w:val="center"/>
                </w:tcPr>
                <w:p w14:paraId="685A21D8">
                  <w:pPr>
                    <w:adjustRightInd w:val="0"/>
                    <w:snapToGrid w:val="0"/>
                    <w:jc w:val="center"/>
                    <w:rPr>
                      <w:i/>
                      <w:iCs/>
                      <w:color w:val="auto"/>
                      <w:sz w:val="15"/>
                      <w:szCs w:val="15"/>
                      <w:u w:val="single"/>
                    </w:rPr>
                  </w:pPr>
                </w:p>
              </w:tc>
              <w:tc>
                <w:tcPr>
                  <w:tcW w:w="399" w:type="pct"/>
                  <w:vMerge w:val="continue"/>
                  <w:tcBorders>
                    <w:tl2br w:val="nil"/>
                    <w:tr2bl w:val="nil"/>
                  </w:tcBorders>
                  <w:vAlign w:val="center"/>
                </w:tcPr>
                <w:p w14:paraId="0A1E3CA0">
                  <w:pPr>
                    <w:adjustRightInd w:val="0"/>
                    <w:snapToGrid w:val="0"/>
                    <w:jc w:val="center"/>
                    <w:rPr>
                      <w:rFonts w:eastAsiaTheme="minorEastAsia"/>
                      <w:i/>
                      <w:iCs/>
                      <w:color w:val="auto"/>
                      <w:kern w:val="2"/>
                      <w:sz w:val="15"/>
                      <w:szCs w:val="15"/>
                      <w:u w:val="single"/>
                    </w:rPr>
                  </w:pPr>
                </w:p>
              </w:tc>
              <w:tc>
                <w:tcPr>
                  <w:tcW w:w="398" w:type="pct"/>
                  <w:vMerge w:val="continue"/>
                  <w:tcBorders>
                    <w:tl2br w:val="nil"/>
                    <w:tr2bl w:val="nil"/>
                  </w:tcBorders>
                  <w:vAlign w:val="center"/>
                </w:tcPr>
                <w:p w14:paraId="6DB7DEC7">
                  <w:pPr>
                    <w:adjustRightInd w:val="0"/>
                    <w:snapToGrid w:val="0"/>
                    <w:jc w:val="center"/>
                    <w:rPr>
                      <w:i/>
                      <w:iCs/>
                      <w:color w:val="auto"/>
                      <w:sz w:val="15"/>
                      <w:szCs w:val="15"/>
                      <w:u w:val="single"/>
                    </w:rPr>
                  </w:pPr>
                </w:p>
              </w:tc>
              <w:tc>
                <w:tcPr>
                  <w:tcW w:w="402" w:type="pct"/>
                  <w:vMerge w:val="continue"/>
                  <w:tcBorders>
                    <w:tl2br w:val="nil"/>
                    <w:tr2bl w:val="nil"/>
                  </w:tcBorders>
                  <w:vAlign w:val="center"/>
                </w:tcPr>
                <w:p w14:paraId="0D908E77">
                  <w:pPr>
                    <w:adjustRightInd w:val="0"/>
                    <w:snapToGrid w:val="0"/>
                    <w:jc w:val="center"/>
                    <w:rPr>
                      <w:i/>
                      <w:iCs/>
                      <w:color w:val="auto"/>
                      <w:sz w:val="15"/>
                      <w:szCs w:val="15"/>
                      <w:u w:val="single"/>
                    </w:rPr>
                  </w:pPr>
                </w:p>
              </w:tc>
              <w:tc>
                <w:tcPr>
                  <w:tcW w:w="251" w:type="pct"/>
                  <w:vMerge w:val="continue"/>
                  <w:tcBorders>
                    <w:tl2br w:val="nil"/>
                    <w:tr2bl w:val="nil"/>
                  </w:tcBorders>
                  <w:vAlign w:val="center"/>
                </w:tcPr>
                <w:p w14:paraId="4C73FC27">
                  <w:pPr>
                    <w:adjustRightInd w:val="0"/>
                    <w:snapToGrid w:val="0"/>
                    <w:jc w:val="center"/>
                    <w:rPr>
                      <w:i/>
                      <w:iCs/>
                      <w:color w:val="auto"/>
                      <w:sz w:val="15"/>
                      <w:szCs w:val="15"/>
                      <w:u w:val="single"/>
                    </w:rPr>
                  </w:pPr>
                </w:p>
              </w:tc>
              <w:tc>
                <w:tcPr>
                  <w:tcW w:w="244" w:type="pct"/>
                  <w:vMerge w:val="continue"/>
                  <w:tcBorders>
                    <w:tl2br w:val="nil"/>
                    <w:tr2bl w:val="nil"/>
                  </w:tcBorders>
                  <w:vAlign w:val="center"/>
                </w:tcPr>
                <w:p w14:paraId="02C5A504">
                  <w:pPr>
                    <w:adjustRightInd w:val="0"/>
                    <w:snapToGrid w:val="0"/>
                    <w:jc w:val="center"/>
                    <w:rPr>
                      <w:i/>
                      <w:iCs/>
                      <w:color w:val="auto"/>
                      <w:sz w:val="15"/>
                      <w:szCs w:val="15"/>
                      <w:u w:val="single"/>
                    </w:rPr>
                  </w:pPr>
                </w:p>
              </w:tc>
              <w:tc>
                <w:tcPr>
                  <w:tcW w:w="309" w:type="pct"/>
                  <w:vMerge w:val="continue"/>
                  <w:tcBorders>
                    <w:tl2br w:val="nil"/>
                    <w:tr2bl w:val="nil"/>
                  </w:tcBorders>
                  <w:vAlign w:val="center"/>
                </w:tcPr>
                <w:p w14:paraId="3F6AE3F3">
                  <w:pPr>
                    <w:adjustRightInd w:val="0"/>
                    <w:snapToGrid w:val="0"/>
                    <w:jc w:val="center"/>
                    <w:rPr>
                      <w:i/>
                      <w:iCs/>
                      <w:color w:val="auto"/>
                      <w:sz w:val="15"/>
                      <w:szCs w:val="15"/>
                      <w:u w:val="single"/>
                    </w:rPr>
                  </w:pPr>
                </w:p>
              </w:tc>
              <w:tc>
                <w:tcPr>
                  <w:tcW w:w="564" w:type="pct"/>
                  <w:tcBorders>
                    <w:tl2br w:val="nil"/>
                    <w:tr2bl w:val="nil"/>
                  </w:tcBorders>
                  <w:shd w:val="clear" w:color="auto" w:fill="auto"/>
                  <w:vAlign w:val="center"/>
                </w:tcPr>
                <w:p w14:paraId="177195D9">
                  <w:pPr>
                    <w:adjustRightInd w:val="0"/>
                    <w:snapToGrid w:val="0"/>
                    <w:jc w:val="center"/>
                    <w:rPr>
                      <w:i/>
                      <w:iCs/>
                      <w:color w:val="auto"/>
                      <w:sz w:val="13"/>
                      <w:szCs w:val="13"/>
                      <w:u w:val="single"/>
                    </w:rPr>
                  </w:pPr>
                  <w:r>
                    <w:rPr>
                      <w:rFonts w:hint="eastAsia"/>
                      <w:i/>
                      <w:iCs/>
                      <w:color w:val="auto"/>
                      <w:sz w:val="13"/>
                      <w:szCs w:val="13"/>
                      <w:u w:val="single"/>
                    </w:rPr>
                    <w:t>北，18m</w:t>
                  </w:r>
                </w:p>
              </w:tc>
              <w:tc>
                <w:tcPr>
                  <w:tcW w:w="489" w:type="pct"/>
                  <w:tcBorders>
                    <w:tl2br w:val="nil"/>
                    <w:tr2bl w:val="nil"/>
                  </w:tcBorders>
                  <w:shd w:val="clear" w:color="auto" w:fill="auto"/>
                  <w:vAlign w:val="center"/>
                </w:tcPr>
                <w:p w14:paraId="1F9636DC">
                  <w:pPr>
                    <w:adjustRightInd w:val="0"/>
                    <w:snapToGrid w:val="0"/>
                    <w:jc w:val="center"/>
                    <w:rPr>
                      <w:i/>
                      <w:iCs/>
                      <w:color w:val="auto"/>
                      <w:sz w:val="13"/>
                      <w:szCs w:val="13"/>
                      <w:u w:val="single"/>
                    </w:rPr>
                  </w:pPr>
                  <w:r>
                    <w:rPr>
                      <w:rFonts w:hint="eastAsia"/>
                      <w:i/>
                      <w:iCs/>
                      <w:color w:val="auto"/>
                      <w:sz w:val="13"/>
                      <w:szCs w:val="13"/>
                      <w:u w:val="single"/>
                    </w:rPr>
                    <w:t>70</w:t>
                  </w:r>
                </w:p>
              </w:tc>
              <w:tc>
                <w:tcPr>
                  <w:tcW w:w="399" w:type="pct"/>
                  <w:vMerge w:val="continue"/>
                  <w:tcBorders>
                    <w:tl2br w:val="nil"/>
                    <w:tr2bl w:val="nil"/>
                  </w:tcBorders>
                  <w:vAlign w:val="center"/>
                </w:tcPr>
                <w:p w14:paraId="3B2EC84C">
                  <w:pPr>
                    <w:adjustRightInd w:val="0"/>
                    <w:snapToGrid w:val="0"/>
                    <w:jc w:val="center"/>
                    <w:rPr>
                      <w:i/>
                      <w:iCs/>
                      <w:color w:val="auto"/>
                      <w:sz w:val="15"/>
                      <w:szCs w:val="15"/>
                      <w:u w:val="single"/>
                    </w:rPr>
                  </w:pPr>
                </w:p>
              </w:tc>
              <w:tc>
                <w:tcPr>
                  <w:tcW w:w="476" w:type="pct"/>
                  <w:vMerge w:val="continue"/>
                  <w:tcBorders>
                    <w:tl2br w:val="nil"/>
                    <w:tr2bl w:val="nil"/>
                  </w:tcBorders>
                  <w:vAlign w:val="center"/>
                </w:tcPr>
                <w:p w14:paraId="3A82A943">
                  <w:pPr>
                    <w:adjustRightInd w:val="0"/>
                    <w:snapToGrid w:val="0"/>
                    <w:jc w:val="center"/>
                    <w:rPr>
                      <w:i/>
                      <w:iCs/>
                      <w:color w:val="auto"/>
                      <w:sz w:val="15"/>
                      <w:szCs w:val="15"/>
                      <w:u w:val="single"/>
                    </w:rPr>
                  </w:pPr>
                </w:p>
              </w:tc>
              <w:tc>
                <w:tcPr>
                  <w:tcW w:w="398" w:type="pct"/>
                  <w:tcBorders>
                    <w:tl2br w:val="nil"/>
                    <w:tr2bl w:val="nil"/>
                  </w:tcBorders>
                  <w:shd w:val="clear" w:color="auto" w:fill="auto"/>
                  <w:vAlign w:val="center"/>
                </w:tcPr>
                <w:p w14:paraId="69C5ABE4">
                  <w:pPr>
                    <w:adjustRightInd w:val="0"/>
                    <w:snapToGrid w:val="0"/>
                    <w:jc w:val="center"/>
                    <w:rPr>
                      <w:i/>
                      <w:iCs/>
                      <w:color w:val="auto"/>
                      <w:sz w:val="13"/>
                      <w:szCs w:val="13"/>
                      <w:u w:val="single"/>
                    </w:rPr>
                  </w:pPr>
                  <w:r>
                    <w:rPr>
                      <w:rFonts w:hint="eastAsia"/>
                      <w:i/>
                      <w:iCs/>
                      <w:color w:val="auto"/>
                      <w:sz w:val="13"/>
                      <w:szCs w:val="13"/>
                      <w:u w:val="single"/>
                    </w:rPr>
                    <w:t>50</w:t>
                  </w:r>
                </w:p>
              </w:tc>
              <w:tc>
                <w:tcPr>
                  <w:tcW w:w="332" w:type="pct"/>
                  <w:tcBorders>
                    <w:tl2br w:val="nil"/>
                    <w:tr2bl w:val="nil"/>
                  </w:tcBorders>
                  <w:shd w:val="clear" w:color="auto" w:fill="auto"/>
                  <w:vAlign w:val="center"/>
                </w:tcPr>
                <w:p w14:paraId="787E1DF1">
                  <w:pPr>
                    <w:adjustRightInd w:val="0"/>
                    <w:snapToGrid w:val="0"/>
                    <w:jc w:val="center"/>
                    <w:rPr>
                      <w:i/>
                      <w:iCs/>
                      <w:color w:val="auto"/>
                      <w:sz w:val="13"/>
                      <w:szCs w:val="13"/>
                      <w:u w:val="single"/>
                    </w:rPr>
                  </w:pPr>
                  <w:r>
                    <w:rPr>
                      <w:rFonts w:hint="eastAsia"/>
                      <w:i/>
                      <w:iCs/>
                      <w:color w:val="auto"/>
                      <w:sz w:val="13"/>
                      <w:szCs w:val="13"/>
                      <w:u w:val="single"/>
                    </w:rPr>
                    <w:t>1m</w:t>
                  </w:r>
                </w:p>
              </w:tc>
            </w:tr>
            <w:tr w14:paraId="363285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 w:hRule="atLeast"/>
              </w:trPr>
              <w:tc>
                <w:tcPr>
                  <w:tcW w:w="333" w:type="pct"/>
                  <w:vMerge w:val="continue"/>
                  <w:tcBorders>
                    <w:tl2br w:val="nil"/>
                    <w:tr2bl w:val="nil"/>
                  </w:tcBorders>
                  <w:vAlign w:val="center"/>
                </w:tcPr>
                <w:p w14:paraId="0046FDA7">
                  <w:pPr>
                    <w:adjustRightInd w:val="0"/>
                    <w:snapToGrid w:val="0"/>
                    <w:jc w:val="center"/>
                    <w:rPr>
                      <w:i/>
                      <w:iCs/>
                      <w:color w:val="auto"/>
                      <w:sz w:val="15"/>
                      <w:szCs w:val="15"/>
                      <w:u w:val="single"/>
                    </w:rPr>
                  </w:pPr>
                </w:p>
              </w:tc>
              <w:tc>
                <w:tcPr>
                  <w:tcW w:w="399" w:type="pct"/>
                  <w:vMerge w:val="restart"/>
                  <w:tcBorders>
                    <w:tl2br w:val="nil"/>
                    <w:tr2bl w:val="nil"/>
                  </w:tcBorders>
                  <w:shd w:val="clear" w:color="auto" w:fill="auto"/>
                  <w:vAlign w:val="center"/>
                </w:tcPr>
                <w:p w14:paraId="4ECE0054">
                  <w:pPr>
                    <w:pStyle w:val="38"/>
                    <w:adjustRightInd w:val="0"/>
                    <w:snapToGrid w:val="0"/>
                    <w:rPr>
                      <w:rFonts w:ascii="Times New Roman" w:hAnsi="Times New Roman" w:cs="Times New Roman"/>
                      <w:i/>
                      <w:iCs/>
                      <w:color w:val="auto"/>
                      <w:sz w:val="13"/>
                      <w:szCs w:val="13"/>
                      <w:u w:val="single"/>
                    </w:rPr>
                  </w:pPr>
                  <w:r>
                    <w:rPr>
                      <w:rFonts w:hint="eastAsia" w:ascii="Times New Roman" w:hAnsi="Times New Roman" w:cs="Times New Roman"/>
                      <w:i/>
                      <w:iCs/>
                      <w:color w:val="auto"/>
                      <w:sz w:val="13"/>
                      <w:szCs w:val="13"/>
                      <w:u w:val="single"/>
                    </w:rPr>
                    <w:t>锤式破碎机</w:t>
                  </w:r>
                </w:p>
                <w:p w14:paraId="763C8B03">
                  <w:pPr>
                    <w:pStyle w:val="91"/>
                    <w:snapToGrid w:val="0"/>
                    <w:jc w:val="center"/>
                    <w:rPr>
                      <w:rFonts w:hint="default" w:ascii="Times New Roman" w:hAnsi="Times New Roman" w:eastAsiaTheme="minorEastAsia"/>
                      <w:i/>
                      <w:iCs/>
                      <w:color w:val="auto"/>
                      <w:kern w:val="2"/>
                      <w:sz w:val="15"/>
                      <w:szCs w:val="15"/>
                      <w:u w:val="single"/>
                    </w:rPr>
                  </w:pPr>
                </w:p>
              </w:tc>
              <w:tc>
                <w:tcPr>
                  <w:tcW w:w="398" w:type="pct"/>
                  <w:vMerge w:val="restart"/>
                  <w:tcBorders>
                    <w:tl2br w:val="nil"/>
                    <w:tr2bl w:val="nil"/>
                  </w:tcBorders>
                  <w:shd w:val="clear" w:color="auto" w:fill="auto"/>
                  <w:vAlign w:val="center"/>
                </w:tcPr>
                <w:p w14:paraId="26C84E2E">
                  <w:pPr>
                    <w:adjustRightInd w:val="0"/>
                    <w:snapToGrid w:val="0"/>
                    <w:jc w:val="center"/>
                    <w:rPr>
                      <w:i/>
                      <w:iCs/>
                      <w:color w:val="auto"/>
                      <w:sz w:val="13"/>
                      <w:szCs w:val="13"/>
                      <w:u w:val="single"/>
                    </w:rPr>
                  </w:pPr>
                  <w:r>
                    <w:rPr>
                      <w:rFonts w:hint="eastAsia"/>
                      <w:i/>
                      <w:iCs/>
                      <w:color w:val="auto"/>
                      <w:sz w:val="13"/>
                      <w:szCs w:val="13"/>
                      <w:u w:val="single"/>
                    </w:rPr>
                    <w:t>95</w:t>
                  </w:r>
                </w:p>
                <w:p w14:paraId="59CC8ABB">
                  <w:pPr>
                    <w:adjustRightInd w:val="0"/>
                    <w:snapToGrid w:val="0"/>
                    <w:jc w:val="center"/>
                    <w:rPr>
                      <w:rFonts w:eastAsiaTheme="minorEastAsia"/>
                      <w:i/>
                      <w:iCs/>
                      <w:color w:val="auto"/>
                      <w:sz w:val="15"/>
                      <w:szCs w:val="15"/>
                      <w:u w:val="single"/>
                    </w:rPr>
                  </w:pPr>
                </w:p>
              </w:tc>
              <w:tc>
                <w:tcPr>
                  <w:tcW w:w="402" w:type="pct"/>
                  <w:vMerge w:val="continue"/>
                  <w:tcBorders>
                    <w:tl2br w:val="nil"/>
                    <w:tr2bl w:val="nil"/>
                  </w:tcBorders>
                  <w:vAlign w:val="center"/>
                </w:tcPr>
                <w:p w14:paraId="530545EF">
                  <w:pPr>
                    <w:adjustRightInd w:val="0"/>
                    <w:snapToGrid w:val="0"/>
                    <w:jc w:val="center"/>
                    <w:rPr>
                      <w:i/>
                      <w:iCs/>
                      <w:color w:val="auto"/>
                      <w:sz w:val="15"/>
                      <w:szCs w:val="15"/>
                      <w:u w:val="single"/>
                    </w:rPr>
                  </w:pPr>
                </w:p>
              </w:tc>
              <w:tc>
                <w:tcPr>
                  <w:tcW w:w="251" w:type="pct"/>
                  <w:vMerge w:val="restart"/>
                  <w:tcBorders>
                    <w:tl2br w:val="nil"/>
                    <w:tr2bl w:val="nil"/>
                  </w:tcBorders>
                  <w:shd w:val="clear" w:color="auto" w:fill="auto"/>
                  <w:vAlign w:val="center"/>
                </w:tcPr>
                <w:p w14:paraId="1CDC0511">
                  <w:pPr>
                    <w:adjustRightInd w:val="0"/>
                    <w:snapToGrid w:val="0"/>
                    <w:jc w:val="center"/>
                    <w:rPr>
                      <w:i/>
                      <w:iCs/>
                      <w:color w:val="auto"/>
                      <w:sz w:val="13"/>
                      <w:szCs w:val="13"/>
                      <w:u w:val="single"/>
                    </w:rPr>
                  </w:pPr>
                  <w:r>
                    <w:rPr>
                      <w:rFonts w:hint="eastAsia"/>
                      <w:i/>
                      <w:iCs/>
                      <w:color w:val="auto"/>
                      <w:sz w:val="13"/>
                      <w:szCs w:val="13"/>
                      <w:u w:val="single"/>
                    </w:rPr>
                    <w:t>12</w:t>
                  </w:r>
                </w:p>
                <w:p w14:paraId="1F2D83A1">
                  <w:pPr>
                    <w:adjustRightInd w:val="0"/>
                    <w:snapToGrid w:val="0"/>
                    <w:jc w:val="center"/>
                    <w:rPr>
                      <w:i/>
                      <w:iCs/>
                      <w:color w:val="auto"/>
                      <w:sz w:val="15"/>
                      <w:szCs w:val="15"/>
                      <w:u w:val="single"/>
                    </w:rPr>
                  </w:pPr>
                </w:p>
              </w:tc>
              <w:tc>
                <w:tcPr>
                  <w:tcW w:w="244" w:type="pct"/>
                  <w:vMerge w:val="restart"/>
                  <w:tcBorders>
                    <w:tl2br w:val="nil"/>
                    <w:tr2bl w:val="nil"/>
                  </w:tcBorders>
                  <w:shd w:val="clear" w:color="auto" w:fill="auto"/>
                  <w:vAlign w:val="center"/>
                </w:tcPr>
                <w:p w14:paraId="228D8F4C">
                  <w:pPr>
                    <w:adjustRightInd w:val="0"/>
                    <w:snapToGrid w:val="0"/>
                    <w:jc w:val="center"/>
                    <w:rPr>
                      <w:i/>
                      <w:iCs/>
                      <w:color w:val="auto"/>
                      <w:sz w:val="13"/>
                      <w:szCs w:val="13"/>
                      <w:u w:val="single"/>
                    </w:rPr>
                  </w:pPr>
                  <w:r>
                    <w:rPr>
                      <w:rFonts w:hint="eastAsia"/>
                      <w:i/>
                      <w:iCs/>
                      <w:color w:val="auto"/>
                      <w:sz w:val="13"/>
                      <w:szCs w:val="13"/>
                      <w:u w:val="single"/>
                    </w:rPr>
                    <w:t>8</w:t>
                  </w:r>
                </w:p>
                <w:p w14:paraId="3EBD0BC8">
                  <w:pPr>
                    <w:adjustRightInd w:val="0"/>
                    <w:snapToGrid w:val="0"/>
                    <w:jc w:val="center"/>
                    <w:rPr>
                      <w:i/>
                      <w:iCs/>
                      <w:color w:val="auto"/>
                      <w:sz w:val="15"/>
                      <w:szCs w:val="15"/>
                      <w:u w:val="single"/>
                    </w:rPr>
                  </w:pPr>
                </w:p>
              </w:tc>
              <w:tc>
                <w:tcPr>
                  <w:tcW w:w="309" w:type="pct"/>
                  <w:vMerge w:val="restart"/>
                  <w:tcBorders>
                    <w:tl2br w:val="nil"/>
                    <w:tr2bl w:val="nil"/>
                  </w:tcBorders>
                  <w:shd w:val="clear" w:color="auto" w:fill="auto"/>
                  <w:vAlign w:val="center"/>
                </w:tcPr>
                <w:p w14:paraId="1F945CDE">
                  <w:pPr>
                    <w:adjustRightInd w:val="0"/>
                    <w:snapToGrid w:val="0"/>
                    <w:jc w:val="center"/>
                    <w:rPr>
                      <w:i/>
                      <w:iCs/>
                      <w:color w:val="auto"/>
                      <w:sz w:val="13"/>
                      <w:szCs w:val="13"/>
                      <w:u w:val="single"/>
                    </w:rPr>
                  </w:pPr>
                  <w:r>
                    <w:rPr>
                      <w:rFonts w:hint="eastAsia"/>
                      <w:i/>
                      <w:iCs/>
                      <w:color w:val="auto"/>
                      <w:sz w:val="13"/>
                      <w:szCs w:val="13"/>
                      <w:u w:val="single"/>
                    </w:rPr>
                    <w:t>4</w:t>
                  </w:r>
                </w:p>
                <w:p w14:paraId="79C49380">
                  <w:pPr>
                    <w:adjustRightInd w:val="0"/>
                    <w:snapToGrid w:val="0"/>
                    <w:jc w:val="center"/>
                    <w:rPr>
                      <w:i/>
                      <w:iCs/>
                      <w:color w:val="auto"/>
                      <w:sz w:val="15"/>
                      <w:szCs w:val="15"/>
                      <w:u w:val="single"/>
                    </w:rPr>
                  </w:pPr>
                </w:p>
              </w:tc>
              <w:tc>
                <w:tcPr>
                  <w:tcW w:w="564" w:type="pct"/>
                  <w:tcBorders>
                    <w:tl2br w:val="nil"/>
                    <w:tr2bl w:val="nil"/>
                  </w:tcBorders>
                  <w:shd w:val="clear" w:color="auto" w:fill="auto"/>
                  <w:vAlign w:val="center"/>
                </w:tcPr>
                <w:p w14:paraId="38F173C0">
                  <w:pPr>
                    <w:adjustRightInd w:val="0"/>
                    <w:snapToGrid w:val="0"/>
                    <w:jc w:val="center"/>
                    <w:rPr>
                      <w:i/>
                      <w:iCs/>
                      <w:color w:val="auto"/>
                      <w:sz w:val="13"/>
                      <w:szCs w:val="13"/>
                      <w:u w:val="single"/>
                    </w:rPr>
                  </w:pPr>
                  <w:r>
                    <w:rPr>
                      <w:rFonts w:hint="eastAsia"/>
                      <w:i/>
                      <w:iCs/>
                      <w:color w:val="auto"/>
                      <w:sz w:val="13"/>
                      <w:szCs w:val="13"/>
                      <w:u w:val="single"/>
                    </w:rPr>
                    <w:t>东，12m</w:t>
                  </w:r>
                </w:p>
              </w:tc>
              <w:tc>
                <w:tcPr>
                  <w:tcW w:w="489" w:type="pct"/>
                  <w:tcBorders>
                    <w:tl2br w:val="nil"/>
                    <w:tr2bl w:val="nil"/>
                  </w:tcBorders>
                  <w:shd w:val="clear" w:color="auto" w:fill="auto"/>
                  <w:vAlign w:val="center"/>
                </w:tcPr>
                <w:p w14:paraId="03ED4026">
                  <w:pPr>
                    <w:adjustRightInd w:val="0"/>
                    <w:snapToGrid w:val="0"/>
                    <w:jc w:val="center"/>
                    <w:rPr>
                      <w:i/>
                      <w:iCs/>
                      <w:color w:val="auto"/>
                      <w:sz w:val="13"/>
                      <w:szCs w:val="13"/>
                      <w:u w:val="single"/>
                    </w:rPr>
                  </w:pPr>
                  <w:r>
                    <w:rPr>
                      <w:rFonts w:hint="eastAsia"/>
                      <w:i/>
                      <w:iCs/>
                      <w:color w:val="auto"/>
                      <w:sz w:val="13"/>
                      <w:szCs w:val="13"/>
                      <w:u w:val="single"/>
                    </w:rPr>
                    <w:t>73</w:t>
                  </w:r>
                </w:p>
              </w:tc>
              <w:tc>
                <w:tcPr>
                  <w:tcW w:w="399" w:type="pct"/>
                  <w:vMerge w:val="restart"/>
                  <w:tcBorders>
                    <w:tl2br w:val="nil"/>
                    <w:tr2bl w:val="nil"/>
                  </w:tcBorders>
                  <w:shd w:val="clear" w:color="auto" w:fill="auto"/>
                  <w:vAlign w:val="center"/>
                </w:tcPr>
                <w:p w14:paraId="128FF96F">
                  <w:pPr>
                    <w:adjustRightInd w:val="0"/>
                    <w:snapToGrid w:val="0"/>
                    <w:jc w:val="center"/>
                    <w:rPr>
                      <w:i/>
                      <w:iCs/>
                      <w:color w:val="auto"/>
                      <w:sz w:val="13"/>
                      <w:szCs w:val="13"/>
                      <w:u w:val="single"/>
                    </w:rPr>
                  </w:pPr>
                  <w:r>
                    <w:rPr>
                      <w:rFonts w:hint="eastAsia"/>
                      <w:i/>
                      <w:iCs/>
                      <w:color w:val="auto"/>
                      <w:sz w:val="13"/>
                      <w:szCs w:val="13"/>
                      <w:u w:val="single"/>
                    </w:rPr>
                    <w:t>16h/d</w:t>
                  </w:r>
                </w:p>
                <w:p w14:paraId="17FB7081">
                  <w:pPr>
                    <w:adjustRightInd w:val="0"/>
                    <w:snapToGrid w:val="0"/>
                    <w:jc w:val="center"/>
                    <w:rPr>
                      <w:i/>
                      <w:iCs/>
                      <w:color w:val="auto"/>
                      <w:sz w:val="15"/>
                      <w:szCs w:val="15"/>
                      <w:u w:val="single"/>
                    </w:rPr>
                  </w:pPr>
                </w:p>
              </w:tc>
              <w:tc>
                <w:tcPr>
                  <w:tcW w:w="476" w:type="pct"/>
                  <w:vMerge w:val="restart"/>
                  <w:tcBorders>
                    <w:tl2br w:val="nil"/>
                    <w:tr2bl w:val="nil"/>
                  </w:tcBorders>
                  <w:shd w:val="clear" w:color="auto" w:fill="auto"/>
                  <w:vAlign w:val="center"/>
                </w:tcPr>
                <w:p w14:paraId="3D6FB2F6">
                  <w:pPr>
                    <w:adjustRightInd w:val="0"/>
                    <w:snapToGrid w:val="0"/>
                    <w:jc w:val="center"/>
                    <w:rPr>
                      <w:i/>
                      <w:iCs/>
                      <w:color w:val="auto"/>
                      <w:sz w:val="13"/>
                      <w:szCs w:val="13"/>
                      <w:u w:val="single"/>
                    </w:rPr>
                  </w:pPr>
                  <w:r>
                    <w:rPr>
                      <w:rFonts w:hint="eastAsia"/>
                      <w:i/>
                      <w:iCs/>
                      <w:color w:val="auto"/>
                      <w:sz w:val="13"/>
                      <w:szCs w:val="13"/>
                      <w:u w:val="single"/>
                    </w:rPr>
                    <w:t>20</w:t>
                  </w:r>
                </w:p>
                <w:p w14:paraId="13FDD702">
                  <w:pPr>
                    <w:adjustRightInd w:val="0"/>
                    <w:snapToGrid w:val="0"/>
                    <w:jc w:val="center"/>
                    <w:rPr>
                      <w:i/>
                      <w:iCs/>
                      <w:color w:val="auto"/>
                      <w:sz w:val="15"/>
                      <w:szCs w:val="15"/>
                      <w:u w:val="single"/>
                    </w:rPr>
                  </w:pPr>
                </w:p>
              </w:tc>
              <w:tc>
                <w:tcPr>
                  <w:tcW w:w="398" w:type="pct"/>
                  <w:tcBorders>
                    <w:tl2br w:val="nil"/>
                    <w:tr2bl w:val="nil"/>
                  </w:tcBorders>
                  <w:shd w:val="clear" w:color="auto" w:fill="auto"/>
                  <w:vAlign w:val="center"/>
                </w:tcPr>
                <w:p w14:paraId="05BFA920">
                  <w:pPr>
                    <w:adjustRightInd w:val="0"/>
                    <w:snapToGrid w:val="0"/>
                    <w:jc w:val="center"/>
                    <w:rPr>
                      <w:i/>
                      <w:iCs/>
                      <w:color w:val="auto"/>
                      <w:sz w:val="13"/>
                      <w:szCs w:val="13"/>
                      <w:u w:val="single"/>
                    </w:rPr>
                  </w:pPr>
                  <w:r>
                    <w:rPr>
                      <w:rFonts w:hint="eastAsia"/>
                      <w:i/>
                      <w:iCs/>
                      <w:color w:val="auto"/>
                      <w:sz w:val="13"/>
                      <w:szCs w:val="13"/>
                      <w:u w:val="single"/>
                    </w:rPr>
                    <w:t>53</w:t>
                  </w:r>
                </w:p>
              </w:tc>
              <w:tc>
                <w:tcPr>
                  <w:tcW w:w="332" w:type="pct"/>
                  <w:tcBorders>
                    <w:tl2br w:val="nil"/>
                    <w:tr2bl w:val="nil"/>
                  </w:tcBorders>
                  <w:shd w:val="clear" w:color="auto" w:fill="auto"/>
                  <w:vAlign w:val="center"/>
                </w:tcPr>
                <w:p w14:paraId="7CDED33B">
                  <w:pPr>
                    <w:adjustRightInd w:val="0"/>
                    <w:snapToGrid w:val="0"/>
                    <w:jc w:val="center"/>
                    <w:rPr>
                      <w:i/>
                      <w:iCs/>
                      <w:color w:val="auto"/>
                      <w:sz w:val="13"/>
                      <w:szCs w:val="13"/>
                      <w:u w:val="single"/>
                    </w:rPr>
                  </w:pPr>
                  <w:r>
                    <w:rPr>
                      <w:rFonts w:hint="eastAsia"/>
                      <w:i/>
                      <w:iCs/>
                      <w:color w:val="auto"/>
                      <w:sz w:val="13"/>
                      <w:szCs w:val="13"/>
                      <w:u w:val="single"/>
                    </w:rPr>
                    <w:t>1m</w:t>
                  </w:r>
                </w:p>
              </w:tc>
            </w:tr>
            <w:tr w14:paraId="4EB474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333" w:type="pct"/>
                  <w:vMerge w:val="continue"/>
                  <w:tcBorders>
                    <w:tl2br w:val="nil"/>
                    <w:tr2bl w:val="nil"/>
                  </w:tcBorders>
                  <w:vAlign w:val="center"/>
                </w:tcPr>
                <w:p w14:paraId="7390A975">
                  <w:pPr>
                    <w:adjustRightInd w:val="0"/>
                    <w:snapToGrid w:val="0"/>
                    <w:jc w:val="center"/>
                    <w:rPr>
                      <w:i/>
                      <w:iCs/>
                      <w:color w:val="auto"/>
                      <w:sz w:val="15"/>
                      <w:szCs w:val="15"/>
                      <w:u w:val="single"/>
                    </w:rPr>
                  </w:pPr>
                </w:p>
              </w:tc>
              <w:tc>
                <w:tcPr>
                  <w:tcW w:w="399" w:type="pct"/>
                  <w:vMerge w:val="continue"/>
                  <w:tcBorders>
                    <w:tl2br w:val="nil"/>
                    <w:tr2bl w:val="nil"/>
                  </w:tcBorders>
                  <w:vAlign w:val="center"/>
                </w:tcPr>
                <w:p w14:paraId="2064A597">
                  <w:pPr>
                    <w:adjustRightInd w:val="0"/>
                    <w:snapToGrid w:val="0"/>
                    <w:jc w:val="center"/>
                    <w:rPr>
                      <w:rFonts w:eastAsiaTheme="minorEastAsia"/>
                      <w:i/>
                      <w:iCs/>
                      <w:color w:val="auto"/>
                      <w:kern w:val="2"/>
                      <w:sz w:val="15"/>
                      <w:szCs w:val="15"/>
                      <w:u w:val="single"/>
                    </w:rPr>
                  </w:pPr>
                </w:p>
              </w:tc>
              <w:tc>
                <w:tcPr>
                  <w:tcW w:w="398" w:type="pct"/>
                  <w:vMerge w:val="continue"/>
                  <w:tcBorders>
                    <w:tl2br w:val="nil"/>
                    <w:tr2bl w:val="nil"/>
                  </w:tcBorders>
                  <w:vAlign w:val="center"/>
                </w:tcPr>
                <w:p w14:paraId="63DC9E03">
                  <w:pPr>
                    <w:adjustRightInd w:val="0"/>
                    <w:snapToGrid w:val="0"/>
                    <w:jc w:val="center"/>
                    <w:rPr>
                      <w:i/>
                      <w:iCs/>
                      <w:color w:val="auto"/>
                      <w:sz w:val="15"/>
                      <w:szCs w:val="15"/>
                      <w:u w:val="single"/>
                    </w:rPr>
                  </w:pPr>
                </w:p>
              </w:tc>
              <w:tc>
                <w:tcPr>
                  <w:tcW w:w="402" w:type="pct"/>
                  <w:vMerge w:val="continue"/>
                  <w:tcBorders>
                    <w:tl2br w:val="nil"/>
                    <w:tr2bl w:val="nil"/>
                  </w:tcBorders>
                  <w:vAlign w:val="center"/>
                </w:tcPr>
                <w:p w14:paraId="70EEB57C">
                  <w:pPr>
                    <w:adjustRightInd w:val="0"/>
                    <w:snapToGrid w:val="0"/>
                    <w:jc w:val="center"/>
                    <w:rPr>
                      <w:i/>
                      <w:iCs/>
                      <w:color w:val="auto"/>
                      <w:sz w:val="15"/>
                      <w:szCs w:val="15"/>
                      <w:u w:val="single"/>
                    </w:rPr>
                  </w:pPr>
                </w:p>
              </w:tc>
              <w:tc>
                <w:tcPr>
                  <w:tcW w:w="251" w:type="pct"/>
                  <w:vMerge w:val="continue"/>
                  <w:tcBorders>
                    <w:tl2br w:val="nil"/>
                    <w:tr2bl w:val="nil"/>
                  </w:tcBorders>
                  <w:vAlign w:val="center"/>
                </w:tcPr>
                <w:p w14:paraId="01A13F51">
                  <w:pPr>
                    <w:adjustRightInd w:val="0"/>
                    <w:snapToGrid w:val="0"/>
                    <w:jc w:val="center"/>
                    <w:rPr>
                      <w:i/>
                      <w:iCs/>
                      <w:color w:val="auto"/>
                      <w:sz w:val="15"/>
                      <w:szCs w:val="15"/>
                      <w:u w:val="single"/>
                    </w:rPr>
                  </w:pPr>
                </w:p>
              </w:tc>
              <w:tc>
                <w:tcPr>
                  <w:tcW w:w="244" w:type="pct"/>
                  <w:vMerge w:val="continue"/>
                  <w:tcBorders>
                    <w:tl2br w:val="nil"/>
                    <w:tr2bl w:val="nil"/>
                  </w:tcBorders>
                  <w:vAlign w:val="center"/>
                </w:tcPr>
                <w:p w14:paraId="1ED89159">
                  <w:pPr>
                    <w:adjustRightInd w:val="0"/>
                    <w:snapToGrid w:val="0"/>
                    <w:jc w:val="center"/>
                    <w:rPr>
                      <w:i/>
                      <w:iCs/>
                      <w:color w:val="auto"/>
                      <w:sz w:val="15"/>
                      <w:szCs w:val="15"/>
                      <w:u w:val="single"/>
                    </w:rPr>
                  </w:pPr>
                </w:p>
              </w:tc>
              <w:tc>
                <w:tcPr>
                  <w:tcW w:w="309" w:type="pct"/>
                  <w:vMerge w:val="continue"/>
                  <w:tcBorders>
                    <w:tl2br w:val="nil"/>
                    <w:tr2bl w:val="nil"/>
                  </w:tcBorders>
                  <w:vAlign w:val="center"/>
                </w:tcPr>
                <w:p w14:paraId="6AB8DE17">
                  <w:pPr>
                    <w:adjustRightInd w:val="0"/>
                    <w:snapToGrid w:val="0"/>
                    <w:jc w:val="center"/>
                    <w:rPr>
                      <w:i/>
                      <w:iCs/>
                      <w:color w:val="auto"/>
                      <w:sz w:val="15"/>
                      <w:szCs w:val="15"/>
                      <w:u w:val="single"/>
                    </w:rPr>
                  </w:pPr>
                </w:p>
              </w:tc>
              <w:tc>
                <w:tcPr>
                  <w:tcW w:w="564" w:type="pct"/>
                  <w:tcBorders>
                    <w:tl2br w:val="nil"/>
                    <w:tr2bl w:val="nil"/>
                  </w:tcBorders>
                  <w:shd w:val="clear" w:color="auto" w:fill="auto"/>
                  <w:vAlign w:val="center"/>
                </w:tcPr>
                <w:p w14:paraId="41812773">
                  <w:pPr>
                    <w:adjustRightInd w:val="0"/>
                    <w:snapToGrid w:val="0"/>
                    <w:jc w:val="center"/>
                    <w:rPr>
                      <w:i/>
                      <w:iCs/>
                      <w:color w:val="auto"/>
                      <w:sz w:val="13"/>
                      <w:szCs w:val="13"/>
                      <w:u w:val="single"/>
                    </w:rPr>
                  </w:pPr>
                  <w:r>
                    <w:rPr>
                      <w:rFonts w:hint="eastAsia"/>
                      <w:i/>
                      <w:iCs/>
                      <w:color w:val="auto"/>
                      <w:sz w:val="13"/>
                      <w:szCs w:val="13"/>
                      <w:u w:val="single"/>
                    </w:rPr>
                    <w:t>南，8m</w:t>
                  </w:r>
                </w:p>
              </w:tc>
              <w:tc>
                <w:tcPr>
                  <w:tcW w:w="489" w:type="pct"/>
                  <w:tcBorders>
                    <w:tl2br w:val="nil"/>
                    <w:tr2bl w:val="nil"/>
                  </w:tcBorders>
                  <w:shd w:val="clear" w:color="auto" w:fill="auto"/>
                  <w:vAlign w:val="center"/>
                </w:tcPr>
                <w:p w14:paraId="41CCE20B">
                  <w:pPr>
                    <w:adjustRightInd w:val="0"/>
                    <w:snapToGrid w:val="0"/>
                    <w:jc w:val="center"/>
                    <w:rPr>
                      <w:i/>
                      <w:iCs/>
                      <w:color w:val="auto"/>
                      <w:sz w:val="13"/>
                      <w:szCs w:val="13"/>
                      <w:u w:val="single"/>
                    </w:rPr>
                  </w:pPr>
                  <w:r>
                    <w:rPr>
                      <w:rFonts w:hint="eastAsia"/>
                      <w:i/>
                      <w:iCs/>
                      <w:color w:val="auto"/>
                      <w:sz w:val="13"/>
                      <w:szCs w:val="13"/>
                      <w:u w:val="single"/>
                    </w:rPr>
                    <w:t>77</w:t>
                  </w:r>
                </w:p>
              </w:tc>
              <w:tc>
                <w:tcPr>
                  <w:tcW w:w="399" w:type="pct"/>
                  <w:vMerge w:val="continue"/>
                  <w:tcBorders>
                    <w:tl2br w:val="nil"/>
                    <w:tr2bl w:val="nil"/>
                  </w:tcBorders>
                  <w:vAlign w:val="center"/>
                </w:tcPr>
                <w:p w14:paraId="56202120">
                  <w:pPr>
                    <w:adjustRightInd w:val="0"/>
                    <w:snapToGrid w:val="0"/>
                    <w:jc w:val="center"/>
                    <w:rPr>
                      <w:i/>
                      <w:iCs/>
                      <w:color w:val="auto"/>
                      <w:sz w:val="15"/>
                      <w:szCs w:val="15"/>
                      <w:u w:val="single"/>
                    </w:rPr>
                  </w:pPr>
                </w:p>
              </w:tc>
              <w:tc>
                <w:tcPr>
                  <w:tcW w:w="476" w:type="pct"/>
                  <w:vMerge w:val="continue"/>
                  <w:tcBorders>
                    <w:tl2br w:val="nil"/>
                    <w:tr2bl w:val="nil"/>
                  </w:tcBorders>
                  <w:vAlign w:val="center"/>
                </w:tcPr>
                <w:p w14:paraId="312172BB">
                  <w:pPr>
                    <w:adjustRightInd w:val="0"/>
                    <w:snapToGrid w:val="0"/>
                    <w:jc w:val="center"/>
                    <w:rPr>
                      <w:i/>
                      <w:iCs/>
                      <w:color w:val="auto"/>
                      <w:sz w:val="15"/>
                      <w:szCs w:val="15"/>
                      <w:u w:val="single"/>
                    </w:rPr>
                  </w:pPr>
                </w:p>
              </w:tc>
              <w:tc>
                <w:tcPr>
                  <w:tcW w:w="398" w:type="pct"/>
                  <w:tcBorders>
                    <w:tl2br w:val="nil"/>
                    <w:tr2bl w:val="nil"/>
                  </w:tcBorders>
                  <w:shd w:val="clear" w:color="auto" w:fill="auto"/>
                  <w:vAlign w:val="center"/>
                </w:tcPr>
                <w:p w14:paraId="0809D60A">
                  <w:pPr>
                    <w:adjustRightInd w:val="0"/>
                    <w:snapToGrid w:val="0"/>
                    <w:jc w:val="center"/>
                    <w:rPr>
                      <w:i/>
                      <w:iCs/>
                      <w:color w:val="auto"/>
                      <w:sz w:val="13"/>
                      <w:szCs w:val="13"/>
                      <w:u w:val="single"/>
                    </w:rPr>
                  </w:pPr>
                  <w:r>
                    <w:rPr>
                      <w:rFonts w:hint="eastAsia"/>
                      <w:i/>
                      <w:iCs/>
                      <w:color w:val="auto"/>
                      <w:sz w:val="13"/>
                      <w:szCs w:val="13"/>
                      <w:u w:val="single"/>
                    </w:rPr>
                    <w:t>57</w:t>
                  </w:r>
                </w:p>
              </w:tc>
              <w:tc>
                <w:tcPr>
                  <w:tcW w:w="332" w:type="pct"/>
                  <w:tcBorders>
                    <w:tl2br w:val="nil"/>
                    <w:tr2bl w:val="nil"/>
                  </w:tcBorders>
                  <w:shd w:val="clear" w:color="auto" w:fill="auto"/>
                  <w:vAlign w:val="center"/>
                </w:tcPr>
                <w:p w14:paraId="61FCFF38">
                  <w:pPr>
                    <w:adjustRightInd w:val="0"/>
                    <w:snapToGrid w:val="0"/>
                    <w:jc w:val="center"/>
                    <w:rPr>
                      <w:i/>
                      <w:iCs/>
                      <w:color w:val="auto"/>
                      <w:sz w:val="13"/>
                      <w:szCs w:val="13"/>
                      <w:u w:val="single"/>
                    </w:rPr>
                  </w:pPr>
                  <w:r>
                    <w:rPr>
                      <w:rFonts w:hint="eastAsia"/>
                      <w:i/>
                      <w:iCs/>
                      <w:color w:val="auto"/>
                      <w:sz w:val="13"/>
                      <w:szCs w:val="13"/>
                      <w:u w:val="single"/>
                    </w:rPr>
                    <w:t>1m</w:t>
                  </w:r>
                </w:p>
              </w:tc>
            </w:tr>
            <w:tr w14:paraId="126281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 w:hRule="atLeast"/>
              </w:trPr>
              <w:tc>
                <w:tcPr>
                  <w:tcW w:w="333" w:type="pct"/>
                  <w:vMerge w:val="continue"/>
                  <w:tcBorders>
                    <w:tl2br w:val="nil"/>
                    <w:tr2bl w:val="nil"/>
                  </w:tcBorders>
                  <w:vAlign w:val="center"/>
                </w:tcPr>
                <w:p w14:paraId="5472EA52">
                  <w:pPr>
                    <w:adjustRightInd w:val="0"/>
                    <w:snapToGrid w:val="0"/>
                    <w:jc w:val="center"/>
                    <w:rPr>
                      <w:i/>
                      <w:iCs/>
                      <w:color w:val="auto"/>
                      <w:sz w:val="15"/>
                      <w:szCs w:val="15"/>
                      <w:u w:val="single"/>
                    </w:rPr>
                  </w:pPr>
                </w:p>
              </w:tc>
              <w:tc>
                <w:tcPr>
                  <w:tcW w:w="399" w:type="pct"/>
                  <w:vMerge w:val="continue"/>
                  <w:tcBorders>
                    <w:tl2br w:val="nil"/>
                    <w:tr2bl w:val="nil"/>
                  </w:tcBorders>
                  <w:vAlign w:val="center"/>
                </w:tcPr>
                <w:p w14:paraId="06B51C9C">
                  <w:pPr>
                    <w:adjustRightInd w:val="0"/>
                    <w:snapToGrid w:val="0"/>
                    <w:jc w:val="center"/>
                    <w:rPr>
                      <w:rFonts w:eastAsiaTheme="minorEastAsia"/>
                      <w:i/>
                      <w:iCs/>
                      <w:color w:val="auto"/>
                      <w:kern w:val="2"/>
                      <w:sz w:val="15"/>
                      <w:szCs w:val="15"/>
                      <w:u w:val="single"/>
                    </w:rPr>
                  </w:pPr>
                </w:p>
              </w:tc>
              <w:tc>
                <w:tcPr>
                  <w:tcW w:w="398" w:type="pct"/>
                  <w:vMerge w:val="continue"/>
                  <w:tcBorders>
                    <w:tl2br w:val="nil"/>
                    <w:tr2bl w:val="nil"/>
                  </w:tcBorders>
                  <w:vAlign w:val="center"/>
                </w:tcPr>
                <w:p w14:paraId="29B7108C">
                  <w:pPr>
                    <w:adjustRightInd w:val="0"/>
                    <w:snapToGrid w:val="0"/>
                    <w:jc w:val="center"/>
                    <w:rPr>
                      <w:i/>
                      <w:iCs/>
                      <w:color w:val="auto"/>
                      <w:sz w:val="15"/>
                      <w:szCs w:val="15"/>
                      <w:u w:val="single"/>
                    </w:rPr>
                  </w:pPr>
                </w:p>
              </w:tc>
              <w:tc>
                <w:tcPr>
                  <w:tcW w:w="402" w:type="pct"/>
                  <w:vMerge w:val="continue"/>
                  <w:tcBorders>
                    <w:tl2br w:val="nil"/>
                    <w:tr2bl w:val="nil"/>
                  </w:tcBorders>
                  <w:vAlign w:val="center"/>
                </w:tcPr>
                <w:p w14:paraId="62A0616A">
                  <w:pPr>
                    <w:adjustRightInd w:val="0"/>
                    <w:snapToGrid w:val="0"/>
                    <w:jc w:val="center"/>
                    <w:rPr>
                      <w:i/>
                      <w:iCs/>
                      <w:color w:val="auto"/>
                      <w:sz w:val="15"/>
                      <w:szCs w:val="15"/>
                      <w:u w:val="single"/>
                    </w:rPr>
                  </w:pPr>
                </w:p>
              </w:tc>
              <w:tc>
                <w:tcPr>
                  <w:tcW w:w="251" w:type="pct"/>
                  <w:vMerge w:val="continue"/>
                  <w:tcBorders>
                    <w:tl2br w:val="nil"/>
                    <w:tr2bl w:val="nil"/>
                  </w:tcBorders>
                  <w:vAlign w:val="center"/>
                </w:tcPr>
                <w:p w14:paraId="6ECABFBA">
                  <w:pPr>
                    <w:adjustRightInd w:val="0"/>
                    <w:snapToGrid w:val="0"/>
                    <w:jc w:val="center"/>
                    <w:rPr>
                      <w:i/>
                      <w:iCs/>
                      <w:color w:val="auto"/>
                      <w:sz w:val="15"/>
                      <w:szCs w:val="15"/>
                      <w:u w:val="single"/>
                    </w:rPr>
                  </w:pPr>
                </w:p>
              </w:tc>
              <w:tc>
                <w:tcPr>
                  <w:tcW w:w="244" w:type="pct"/>
                  <w:vMerge w:val="continue"/>
                  <w:tcBorders>
                    <w:tl2br w:val="nil"/>
                    <w:tr2bl w:val="nil"/>
                  </w:tcBorders>
                  <w:vAlign w:val="center"/>
                </w:tcPr>
                <w:p w14:paraId="2F9091FA">
                  <w:pPr>
                    <w:adjustRightInd w:val="0"/>
                    <w:snapToGrid w:val="0"/>
                    <w:jc w:val="center"/>
                    <w:rPr>
                      <w:i/>
                      <w:iCs/>
                      <w:color w:val="auto"/>
                      <w:sz w:val="15"/>
                      <w:szCs w:val="15"/>
                      <w:u w:val="single"/>
                    </w:rPr>
                  </w:pPr>
                </w:p>
              </w:tc>
              <w:tc>
                <w:tcPr>
                  <w:tcW w:w="309" w:type="pct"/>
                  <w:vMerge w:val="continue"/>
                  <w:tcBorders>
                    <w:tl2br w:val="nil"/>
                    <w:tr2bl w:val="nil"/>
                  </w:tcBorders>
                  <w:vAlign w:val="center"/>
                </w:tcPr>
                <w:p w14:paraId="394A04D5">
                  <w:pPr>
                    <w:adjustRightInd w:val="0"/>
                    <w:snapToGrid w:val="0"/>
                    <w:jc w:val="center"/>
                    <w:rPr>
                      <w:i/>
                      <w:iCs/>
                      <w:color w:val="auto"/>
                      <w:sz w:val="15"/>
                      <w:szCs w:val="15"/>
                      <w:u w:val="single"/>
                    </w:rPr>
                  </w:pPr>
                </w:p>
              </w:tc>
              <w:tc>
                <w:tcPr>
                  <w:tcW w:w="564" w:type="pct"/>
                  <w:tcBorders>
                    <w:tl2br w:val="nil"/>
                    <w:tr2bl w:val="nil"/>
                  </w:tcBorders>
                  <w:shd w:val="clear" w:color="auto" w:fill="auto"/>
                  <w:vAlign w:val="center"/>
                </w:tcPr>
                <w:p w14:paraId="4520EE8E">
                  <w:pPr>
                    <w:adjustRightInd w:val="0"/>
                    <w:snapToGrid w:val="0"/>
                    <w:jc w:val="center"/>
                    <w:rPr>
                      <w:i/>
                      <w:iCs/>
                      <w:color w:val="auto"/>
                      <w:sz w:val="13"/>
                      <w:szCs w:val="13"/>
                      <w:u w:val="single"/>
                    </w:rPr>
                  </w:pPr>
                  <w:r>
                    <w:rPr>
                      <w:rFonts w:hint="eastAsia"/>
                      <w:i/>
                      <w:iCs/>
                      <w:color w:val="auto"/>
                      <w:sz w:val="13"/>
                      <w:szCs w:val="13"/>
                      <w:u w:val="single"/>
                    </w:rPr>
                    <w:t>西，13m</w:t>
                  </w:r>
                </w:p>
              </w:tc>
              <w:tc>
                <w:tcPr>
                  <w:tcW w:w="489" w:type="pct"/>
                  <w:tcBorders>
                    <w:tl2br w:val="nil"/>
                    <w:tr2bl w:val="nil"/>
                  </w:tcBorders>
                  <w:shd w:val="clear" w:color="auto" w:fill="auto"/>
                  <w:vAlign w:val="center"/>
                </w:tcPr>
                <w:p w14:paraId="6B2EC7BD">
                  <w:pPr>
                    <w:adjustRightInd w:val="0"/>
                    <w:snapToGrid w:val="0"/>
                    <w:jc w:val="center"/>
                    <w:rPr>
                      <w:i/>
                      <w:iCs/>
                      <w:color w:val="auto"/>
                      <w:sz w:val="13"/>
                      <w:szCs w:val="13"/>
                      <w:u w:val="single"/>
                    </w:rPr>
                  </w:pPr>
                  <w:r>
                    <w:rPr>
                      <w:rFonts w:hint="eastAsia"/>
                      <w:i/>
                      <w:iCs/>
                      <w:color w:val="auto"/>
                      <w:sz w:val="13"/>
                      <w:szCs w:val="13"/>
                      <w:u w:val="single"/>
                    </w:rPr>
                    <w:t>73</w:t>
                  </w:r>
                </w:p>
              </w:tc>
              <w:tc>
                <w:tcPr>
                  <w:tcW w:w="399" w:type="pct"/>
                  <w:vMerge w:val="continue"/>
                  <w:tcBorders>
                    <w:tl2br w:val="nil"/>
                    <w:tr2bl w:val="nil"/>
                  </w:tcBorders>
                  <w:vAlign w:val="center"/>
                </w:tcPr>
                <w:p w14:paraId="768DCBA7">
                  <w:pPr>
                    <w:adjustRightInd w:val="0"/>
                    <w:snapToGrid w:val="0"/>
                    <w:jc w:val="center"/>
                    <w:rPr>
                      <w:i/>
                      <w:iCs/>
                      <w:color w:val="auto"/>
                      <w:sz w:val="15"/>
                      <w:szCs w:val="15"/>
                      <w:u w:val="single"/>
                    </w:rPr>
                  </w:pPr>
                </w:p>
              </w:tc>
              <w:tc>
                <w:tcPr>
                  <w:tcW w:w="476" w:type="pct"/>
                  <w:vMerge w:val="continue"/>
                  <w:tcBorders>
                    <w:tl2br w:val="nil"/>
                    <w:tr2bl w:val="nil"/>
                  </w:tcBorders>
                  <w:vAlign w:val="center"/>
                </w:tcPr>
                <w:p w14:paraId="4995E9FC">
                  <w:pPr>
                    <w:adjustRightInd w:val="0"/>
                    <w:snapToGrid w:val="0"/>
                    <w:jc w:val="center"/>
                    <w:rPr>
                      <w:i/>
                      <w:iCs/>
                      <w:color w:val="auto"/>
                      <w:sz w:val="15"/>
                      <w:szCs w:val="15"/>
                      <w:u w:val="single"/>
                    </w:rPr>
                  </w:pPr>
                </w:p>
              </w:tc>
              <w:tc>
                <w:tcPr>
                  <w:tcW w:w="398" w:type="pct"/>
                  <w:tcBorders>
                    <w:tl2br w:val="nil"/>
                    <w:tr2bl w:val="nil"/>
                  </w:tcBorders>
                  <w:shd w:val="clear" w:color="auto" w:fill="auto"/>
                  <w:vAlign w:val="center"/>
                </w:tcPr>
                <w:p w14:paraId="2CB5F003">
                  <w:pPr>
                    <w:adjustRightInd w:val="0"/>
                    <w:snapToGrid w:val="0"/>
                    <w:jc w:val="center"/>
                    <w:rPr>
                      <w:i/>
                      <w:iCs/>
                      <w:color w:val="auto"/>
                      <w:sz w:val="13"/>
                      <w:szCs w:val="13"/>
                      <w:u w:val="single"/>
                    </w:rPr>
                  </w:pPr>
                  <w:r>
                    <w:rPr>
                      <w:rFonts w:hint="eastAsia"/>
                      <w:i/>
                      <w:iCs/>
                      <w:color w:val="auto"/>
                      <w:sz w:val="13"/>
                      <w:szCs w:val="13"/>
                      <w:u w:val="single"/>
                    </w:rPr>
                    <w:t>53</w:t>
                  </w:r>
                </w:p>
              </w:tc>
              <w:tc>
                <w:tcPr>
                  <w:tcW w:w="332" w:type="pct"/>
                  <w:tcBorders>
                    <w:tl2br w:val="nil"/>
                    <w:tr2bl w:val="nil"/>
                  </w:tcBorders>
                  <w:shd w:val="clear" w:color="auto" w:fill="auto"/>
                  <w:vAlign w:val="center"/>
                </w:tcPr>
                <w:p w14:paraId="682240CB">
                  <w:pPr>
                    <w:adjustRightInd w:val="0"/>
                    <w:snapToGrid w:val="0"/>
                    <w:jc w:val="center"/>
                    <w:rPr>
                      <w:i/>
                      <w:iCs/>
                      <w:color w:val="auto"/>
                      <w:sz w:val="13"/>
                      <w:szCs w:val="13"/>
                      <w:u w:val="single"/>
                    </w:rPr>
                  </w:pPr>
                  <w:r>
                    <w:rPr>
                      <w:rFonts w:hint="eastAsia"/>
                      <w:i/>
                      <w:iCs/>
                      <w:color w:val="auto"/>
                      <w:sz w:val="13"/>
                      <w:szCs w:val="13"/>
                      <w:u w:val="single"/>
                    </w:rPr>
                    <w:t>1m</w:t>
                  </w:r>
                </w:p>
              </w:tc>
            </w:tr>
            <w:tr w14:paraId="2A46E1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333" w:type="pct"/>
                  <w:vMerge w:val="continue"/>
                  <w:tcBorders>
                    <w:tl2br w:val="nil"/>
                    <w:tr2bl w:val="nil"/>
                  </w:tcBorders>
                  <w:vAlign w:val="center"/>
                </w:tcPr>
                <w:p w14:paraId="78D29963">
                  <w:pPr>
                    <w:adjustRightInd w:val="0"/>
                    <w:snapToGrid w:val="0"/>
                    <w:jc w:val="center"/>
                    <w:rPr>
                      <w:i/>
                      <w:iCs/>
                      <w:color w:val="auto"/>
                      <w:sz w:val="15"/>
                      <w:szCs w:val="15"/>
                      <w:u w:val="single"/>
                    </w:rPr>
                  </w:pPr>
                </w:p>
              </w:tc>
              <w:tc>
                <w:tcPr>
                  <w:tcW w:w="399" w:type="pct"/>
                  <w:vMerge w:val="continue"/>
                  <w:tcBorders>
                    <w:tl2br w:val="nil"/>
                    <w:tr2bl w:val="nil"/>
                  </w:tcBorders>
                  <w:vAlign w:val="center"/>
                </w:tcPr>
                <w:p w14:paraId="0EDDA9FB">
                  <w:pPr>
                    <w:adjustRightInd w:val="0"/>
                    <w:snapToGrid w:val="0"/>
                    <w:jc w:val="center"/>
                    <w:rPr>
                      <w:rFonts w:eastAsiaTheme="minorEastAsia"/>
                      <w:i/>
                      <w:iCs/>
                      <w:color w:val="auto"/>
                      <w:kern w:val="2"/>
                      <w:sz w:val="15"/>
                      <w:szCs w:val="15"/>
                      <w:u w:val="single"/>
                    </w:rPr>
                  </w:pPr>
                </w:p>
              </w:tc>
              <w:tc>
                <w:tcPr>
                  <w:tcW w:w="398" w:type="pct"/>
                  <w:vMerge w:val="continue"/>
                  <w:tcBorders>
                    <w:tl2br w:val="nil"/>
                    <w:tr2bl w:val="nil"/>
                  </w:tcBorders>
                  <w:vAlign w:val="center"/>
                </w:tcPr>
                <w:p w14:paraId="327F2407">
                  <w:pPr>
                    <w:adjustRightInd w:val="0"/>
                    <w:snapToGrid w:val="0"/>
                    <w:jc w:val="center"/>
                    <w:rPr>
                      <w:i/>
                      <w:iCs/>
                      <w:color w:val="auto"/>
                      <w:sz w:val="15"/>
                      <w:szCs w:val="15"/>
                      <w:u w:val="single"/>
                    </w:rPr>
                  </w:pPr>
                </w:p>
              </w:tc>
              <w:tc>
                <w:tcPr>
                  <w:tcW w:w="402" w:type="pct"/>
                  <w:vMerge w:val="continue"/>
                  <w:tcBorders>
                    <w:tl2br w:val="nil"/>
                    <w:tr2bl w:val="nil"/>
                  </w:tcBorders>
                  <w:vAlign w:val="center"/>
                </w:tcPr>
                <w:p w14:paraId="1CAA32B5">
                  <w:pPr>
                    <w:adjustRightInd w:val="0"/>
                    <w:snapToGrid w:val="0"/>
                    <w:jc w:val="center"/>
                    <w:rPr>
                      <w:i/>
                      <w:iCs/>
                      <w:color w:val="auto"/>
                      <w:sz w:val="15"/>
                      <w:szCs w:val="15"/>
                      <w:u w:val="single"/>
                    </w:rPr>
                  </w:pPr>
                </w:p>
              </w:tc>
              <w:tc>
                <w:tcPr>
                  <w:tcW w:w="251" w:type="pct"/>
                  <w:vMerge w:val="continue"/>
                  <w:tcBorders>
                    <w:tl2br w:val="nil"/>
                    <w:tr2bl w:val="nil"/>
                  </w:tcBorders>
                  <w:vAlign w:val="center"/>
                </w:tcPr>
                <w:p w14:paraId="2882FB03">
                  <w:pPr>
                    <w:adjustRightInd w:val="0"/>
                    <w:snapToGrid w:val="0"/>
                    <w:jc w:val="center"/>
                    <w:rPr>
                      <w:i/>
                      <w:iCs/>
                      <w:color w:val="auto"/>
                      <w:sz w:val="15"/>
                      <w:szCs w:val="15"/>
                      <w:u w:val="single"/>
                    </w:rPr>
                  </w:pPr>
                </w:p>
              </w:tc>
              <w:tc>
                <w:tcPr>
                  <w:tcW w:w="244" w:type="pct"/>
                  <w:vMerge w:val="continue"/>
                  <w:tcBorders>
                    <w:tl2br w:val="nil"/>
                    <w:tr2bl w:val="nil"/>
                  </w:tcBorders>
                  <w:vAlign w:val="center"/>
                </w:tcPr>
                <w:p w14:paraId="4281AD84">
                  <w:pPr>
                    <w:adjustRightInd w:val="0"/>
                    <w:snapToGrid w:val="0"/>
                    <w:jc w:val="center"/>
                    <w:rPr>
                      <w:i/>
                      <w:iCs/>
                      <w:color w:val="auto"/>
                      <w:sz w:val="15"/>
                      <w:szCs w:val="15"/>
                      <w:u w:val="single"/>
                    </w:rPr>
                  </w:pPr>
                </w:p>
              </w:tc>
              <w:tc>
                <w:tcPr>
                  <w:tcW w:w="309" w:type="pct"/>
                  <w:vMerge w:val="continue"/>
                  <w:tcBorders>
                    <w:tl2br w:val="nil"/>
                    <w:tr2bl w:val="nil"/>
                  </w:tcBorders>
                  <w:vAlign w:val="center"/>
                </w:tcPr>
                <w:p w14:paraId="21AD56E1">
                  <w:pPr>
                    <w:adjustRightInd w:val="0"/>
                    <w:snapToGrid w:val="0"/>
                    <w:jc w:val="center"/>
                    <w:rPr>
                      <w:i/>
                      <w:iCs/>
                      <w:color w:val="auto"/>
                      <w:sz w:val="15"/>
                      <w:szCs w:val="15"/>
                      <w:u w:val="single"/>
                    </w:rPr>
                  </w:pPr>
                </w:p>
              </w:tc>
              <w:tc>
                <w:tcPr>
                  <w:tcW w:w="564" w:type="pct"/>
                  <w:tcBorders>
                    <w:tl2br w:val="nil"/>
                    <w:tr2bl w:val="nil"/>
                  </w:tcBorders>
                  <w:shd w:val="clear" w:color="auto" w:fill="auto"/>
                  <w:vAlign w:val="center"/>
                </w:tcPr>
                <w:p w14:paraId="1336D4EA">
                  <w:pPr>
                    <w:adjustRightInd w:val="0"/>
                    <w:snapToGrid w:val="0"/>
                    <w:jc w:val="center"/>
                    <w:rPr>
                      <w:i/>
                      <w:iCs/>
                      <w:color w:val="auto"/>
                      <w:sz w:val="13"/>
                      <w:szCs w:val="13"/>
                      <w:u w:val="single"/>
                    </w:rPr>
                  </w:pPr>
                  <w:r>
                    <w:rPr>
                      <w:rFonts w:hint="eastAsia"/>
                      <w:i/>
                      <w:iCs/>
                      <w:color w:val="auto"/>
                      <w:sz w:val="13"/>
                      <w:szCs w:val="13"/>
                      <w:u w:val="single"/>
                    </w:rPr>
                    <w:t>北，22m</w:t>
                  </w:r>
                </w:p>
              </w:tc>
              <w:tc>
                <w:tcPr>
                  <w:tcW w:w="489" w:type="pct"/>
                  <w:tcBorders>
                    <w:tl2br w:val="nil"/>
                    <w:tr2bl w:val="nil"/>
                  </w:tcBorders>
                  <w:shd w:val="clear" w:color="auto" w:fill="auto"/>
                  <w:vAlign w:val="center"/>
                </w:tcPr>
                <w:p w14:paraId="52816F2F">
                  <w:pPr>
                    <w:adjustRightInd w:val="0"/>
                    <w:snapToGrid w:val="0"/>
                    <w:jc w:val="center"/>
                    <w:rPr>
                      <w:i/>
                      <w:iCs/>
                      <w:color w:val="auto"/>
                      <w:sz w:val="13"/>
                      <w:szCs w:val="13"/>
                      <w:u w:val="single"/>
                    </w:rPr>
                  </w:pPr>
                  <w:r>
                    <w:rPr>
                      <w:rFonts w:hint="eastAsia"/>
                      <w:i/>
                      <w:iCs/>
                      <w:color w:val="auto"/>
                      <w:sz w:val="13"/>
                      <w:szCs w:val="13"/>
                      <w:u w:val="single"/>
                    </w:rPr>
                    <w:t>68</w:t>
                  </w:r>
                </w:p>
              </w:tc>
              <w:tc>
                <w:tcPr>
                  <w:tcW w:w="399" w:type="pct"/>
                  <w:vMerge w:val="continue"/>
                  <w:tcBorders>
                    <w:tl2br w:val="nil"/>
                    <w:tr2bl w:val="nil"/>
                  </w:tcBorders>
                  <w:vAlign w:val="center"/>
                </w:tcPr>
                <w:p w14:paraId="5BC139DD">
                  <w:pPr>
                    <w:adjustRightInd w:val="0"/>
                    <w:snapToGrid w:val="0"/>
                    <w:jc w:val="center"/>
                    <w:rPr>
                      <w:i/>
                      <w:iCs/>
                      <w:color w:val="auto"/>
                      <w:sz w:val="15"/>
                      <w:szCs w:val="15"/>
                      <w:u w:val="single"/>
                    </w:rPr>
                  </w:pPr>
                </w:p>
              </w:tc>
              <w:tc>
                <w:tcPr>
                  <w:tcW w:w="476" w:type="pct"/>
                  <w:vMerge w:val="continue"/>
                  <w:tcBorders>
                    <w:tl2br w:val="nil"/>
                    <w:tr2bl w:val="nil"/>
                  </w:tcBorders>
                  <w:vAlign w:val="center"/>
                </w:tcPr>
                <w:p w14:paraId="77679F16">
                  <w:pPr>
                    <w:adjustRightInd w:val="0"/>
                    <w:snapToGrid w:val="0"/>
                    <w:jc w:val="center"/>
                    <w:rPr>
                      <w:i/>
                      <w:iCs/>
                      <w:color w:val="auto"/>
                      <w:sz w:val="15"/>
                      <w:szCs w:val="15"/>
                      <w:u w:val="single"/>
                    </w:rPr>
                  </w:pPr>
                </w:p>
              </w:tc>
              <w:tc>
                <w:tcPr>
                  <w:tcW w:w="398" w:type="pct"/>
                  <w:tcBorders>
                    <w:tl2br w:val="nil"/>
                    <w:tr2bl w:val="nil"/>
                  </w:tcBorders>
                  <w:shd w:val="clear" w:color="auto" w:fill="auto"/>
                  <w:vAlign w:val="center"/>
                </w:tcPr>
                <w:p w14:paraId="20F931BA">
                  <w:pPr>
                    <w:adjustRightInd w:val="0"/>
                    <w:snapToGrid w:val="0"/>
                    <w:jc w:val="center"/>
                    <w:rPr>
                      <w:i/>
                      <w:iCs/>
                      <w:color w:val="auto"/>
                      <w:sz w:val="13"/>
                      <w:szCs w:val="13"/>
                      <w:u w:val="single"/>
                    </w:rPr>
                  </w:pPr>
                  <w:r>
                    <w:rPr>
                      <w:rFonts w:hint="eastAsia"/>
                      <w:i/>
                      <w:iCs/>
                      <w:color w:val="auto"/>
                      <w:sz w:val="13"/>
                      <w:szCs w:val="13"/>
                      <w:u w:val="single"/>
                    </w:rPr>
                    <w:t>48</w:t>
                  </w:r>
                </w:p>
              </w:tc>
              <w:tc>
                <w:tcPr>
                  <w:tcW w:w="332" w:type="pct"/>
                  <w:tcBorders>
                    <w:tl2br w:val="nil"/>
                    <w:tr2bl w:val="nil"/>
                  </w:tcBorders>
                  <w:shd w:val="clear" w:color="auto" w:fill="auto"/>
                  <w:vAlign w:val="center"/>
                </w:tcPr>
                <w:p w14:paraId="538863D8">
                  <w:pPr>
                    <w:adjustRightInd w:val="0"/>
                    <w:snapToGrid w:val="0"/>
                    <w:jc w:val="center"/>
                    <w:rPr>
                      <w:i/>
                      <w:iCs/>
                      <w:color w:val="auto"/>
                      <w:sz w:val="13"/>
                      <w:szCs w:val="13"/>
                      <w:u w:val="single"/>
                    </w:rPr>
                  </w:pPr>
                  <w:r>
                    <w:rPr>
                      <w:rFonts w:hint="eastAsia"/>
                      <w:i/>
                      <w:iCs/>
                      <w:color w:val="auto"/>
                      <w:sz w:val="13"/>
                      <w:szCs w:val="13"/>
                      <w:u w:val="single"/>
                    </w:rPr>
                    <w:t>1m</w:t>
                  </w:r>
                </w:p>
              </w:tc>
            </w:tr>
            <w:tr w14:paraId="3AAB0A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333" w:type="pct"/>
                  <w:vMerge w:val="continue"/>
                  <w:tcBorders>
                    <w:tl2br w:val="nil"/>
                    <w:tr2bl w:val="nil"/>
                  </w:tcBorders>
                  <w:vAlign w:val="center"/>
                </w:tcPr>
                <w:p w14:paraId="02D73190">
                  <w:pPr>
                    <w:adjustRightInd w:val="0"/>
                    <w:snapToGrid w:val="0"/>
                    <w:jc w:val="center"/>
                    <w:rPr>
                      <w:i/>
                      <w:iCs/>
                      <w:color w:val="auto"/>
                      <w:sz w:val="15"/>
                      <w:szCs w:val="15"/>
                      <w:u w:val="single"/>
                    </w:rPr>
                  </w:pPr>
                </w:p>
              </w:tc>
              <w:tc>
                <w:tcPr>
                  <w:tcW w:w="399" w:type="pct"/>
                  <w:vMerge w:val="restart"/>
                  <w:tcBorders>
                    <w:tl2br w:val="nil"/>
                    <w:tr2bl w:val="nil"/>
                  </w:tcBorders>
                  <w:shd w:val="clear" w:color="auto" w:fill="auto"/>
                  <w:vAlign w:val="center"/>
                </w:tcPr>
                <w:p w14:paraId="1F2FCB44">
                  <w:pPr>
                    <w:pStyle w:val="91"/>
                    <w:snapToGrid w:val="0"/>
                    <w:jc w:val="center"/>
                    <w:rPr>
                      <w:rFonts w:hint="default" w:ascii="Times New Roman" w:hAnsi="Times New Roman"/>
                      <w:i/>
                      <w:iCs/>
                      <w:color w:val="auto"/>
                      <w:sz w:val="13"/>
                      <w:szCs w:val="13"/>
                      <w:u w:val="single"/>
                    </w:rPr>
                  </w:pPr>
                  <w:r>
                    <w:rPr>
                      <w:rFonts w:ascii="Times New Roman" w:hAnsi="Times New Roman"/>
                      <w:i/>
                      <w:iCs/>
                      <w:color w:val="auto"/>
                      <w:sz w:val="13"/>
                      <w:szCs w:val="13"/>
                      <w:u w:val="single"/>
                    </w:rPr>
                    <w:t>上料机</w:t>
                  </w:r>
                </w:p>
                <w:p w14:paraId="78062E81">
                  <w:pPr>
                    <w:pStyle w:val="38"/>
                    <w:adjustRightInd w:val="0"/>
                    <w:snapToGrid w:val="0"/>
                    <w:rPr>
                      <w:rFonts w:ascii="Times New Roman" w:hAnsi="Times New Roman" w:cs="Times New Roman" w:eastAsiaTheme="minorEastAsia"/>
                      <w:i/>
                      <w:iCs/>
                      <w:color w:val="auto"/>
                      <w:kern w:val="2"/>
                      <w:sz w:val="15"/>
                      <w:szCs w:val="15"/>
                      <w:u w:val="single"/>
                    </w:rPr>
                  </w:pPr>
                </w:p>
              </w:tc>
              <w:tc>
                <w:tcPr>
                  <w:tcW w:w="398" w:type="pct"/>
                  <w:vMerge w:val="restart"/>
                  <w:tcBorders>
                    <w:tl2br w:val="nil"/>
                    <w:tr2bl w:val="nil"/>
                  </w:tcBorders>
                  <w:shd w:val="clear" w:color="auto" w:fill="auto"/>
                  <w:vAlign w:val="center"/>
                </w:tcPr>
                <w:p w14:paraId="57825148">
                  <w:pPr>
                    <w:adjustRightInd w:val="0"/>
                    <w:snapToGrid w:val="0"/>
                    <w:jc w:val="center"/>
                    <w:rPr>
                      <w:i/>
                      <w:iCs/>
                      <w:color w:val="auto"/>
                      <w:sz w:val="13"/>
                      <w:szCs w:val="13"/>
                      <w:u w:val="single"/>
                    </w:rPr>
                  </w:pPr>
                  <w:r>
                    <w:rPr>
                      <w:rFonts w:hint="eastAsia"/>
                      <w:i/>
                      <w:iCs/>
                      <w:color w:val="auto"/>
                      <w:sz w:val="13"/>
                      <w:szCs w:val="13"/>
                      <w:u w:val="single"/>
                    </w:rPr>
                    <w:t>70</w:t>
                  </w:r>
                </w:p>
                <w:p w14:paraId="7F355184">
                  <w:pPr>
                    <w:adjustRightInd w:val="0"/>
                    <w:snapToGrid w:val="0"/>
                    <w:jc w:val="center"/>
                    <w:rPr>
                      <w:rFonts w:eastAsiaTheme="minorEastAsia"/>
                      <w:i/>
                      <w:iCs/>
                      <w:color w:val="auto"/>
                      <w:sz w:val="15"/>
                      <w:szCs w:val="15"/>
                      <w:u w:val="single"/>
                    </w:rPr>
                  </w:pPr>
                </w:p>
              </w:tc>
              <w:tc>
                <w:tcPr>
                  <w:tcW w:w="402" w:type="pct"/>
                  <w:vMerge w:val="restart"/>
                  <w:tcBorders>
                    <w:tl2br w:val="nil"/>
                    <w:tr2bl w:val="nil"/>
                  </w:tcBorders>
                  <w:shd w:val="clear" w:color="auto" w:fill="auto"/>
                  <w:vAlign w:val="center"/>
                </w:tcPr>
                <w:p w14:paraId="767341DA">
                  <w:pPr>
                    <w:adjustRightInd w:val="0"/>
                    <w:snapToGrid w:val="0"/>
                    <w:jc w:val="center"/>
                    <w:rPr>
                      <w:i/>
                      <w:iCs/>
                      <w:color w:val="auto"/>
                      <w:sz w:val="15"/>
                      <w:szCs w:val="15"/>
                      <w:u w:val="single"/>
                    </w:rPr>
                  </w:pPr>
                  <w:r>
                    <w:rPr>
                      <w:rFonts w:hint="eastAsia"/>
                      <w:i/>
                      <w:iCs/>
                      <w:color w:val="auto"/>
                      <w:sz w:val="13"/>
                      <w:szCs w:val="13"/>
                      <w:u w:val="single"/>
                    </w:rPr>
                    <w:t>电机隔声罩、建筑隔声</w:t>
                  </w:r>
                </w:p>
              </w:tc>
              <w:tc>
                <w:tcPr>
                  <w:tcW w:w="251" w:type="pct"/>
                  <w:vMerge w:val="restart"/>
                  <w:tcBorders>
                    <w:tl2br w:val="nil"/>
                    <w:tr2bl w:val="nil"/>
                  </w:tcBorders>
                  <w:shd w:val="clear" w:color="auto" w:fill="auto"/>
                  <w:vAlign w:val="center"/>
                </w:tcPr>
                <w:p w14:paraId="14317D3F">
                  <w:pPr>
                    <w:adjustRightInd w:val="0"/>
                    <w:snapToGrid w:val="0"/>
                    <w:jc w:val="center"/>
                    <w:rPr>
                      <w:i/>
                      <w:iCs/>
                      <w:color w:val="auto"/>
                      <w:sz w:val="13"/>
                      <w:szCs w:val="13"/>
                      <w:u w:val="single"/>
                    </w:rPr>
                  </w:pPr>
                  <w:r>
                    <w:rPr>
                      <w:rFonts w:hint="eastAsia"/>
                      <w:i/>
                      <w:iCs/>
                      <w:color w:val="auto"/>
                      <w:sz w:val="13"/>
                      <w:szCs w:val="13"/>
                      <w:u w:val="single"/>
                    </w:rPr>
                    <w:t>12</w:t>
                  </w:r>
                </w:p>
                <w:p w14:paraId="1BB9D615">
                  <w:pPr>
                    <w:adjustRightInd w:val="0"/>
                    <w:snapToGrid w:val="0"/>
                    <w:jc w:val="center"/>
                    <w:rPr>
                      <w:i/>
                      <w:iCs/>
                      <w:color w:val="auto"/>
                      <w:sz w:val="15"/>
                      <w:szCs w:val="15"/>
                      <w:u w:val="single"/>
                    </w:rPr>
                  </w:pPr>
                </w:p>
              </w:tc>
              <w:tc>
                <w:tcPr>
                  <w:tcW w:w="244" w:type="pct"/>
                  <w:vMerge w:val="restart"/>
                  <w:tcBorders>
                    <w:tl2br w:val="nil"/>
                    <w:tr2bl w:val="nil"/>
                  </w:tcBorders>
                  <w:shd w:val="clear" w:color="auto" w:fill="auto"/>
                  <w:vAlign w:val="center"/>
                </w:tcPr>
                <w:p w14:paraId="56792A9D">
                  <w:pPr>
                    <w:adjustRightInd w:val="0"/>
                    <w:snapToGrid w:val="0"/>
                    <w:jc w:val="center"/>
                    <w:rPr>
                      <w:i/>
                      <w:iCs/>
                      <w:color w:val="auto"/>
                      <w:sz w:val="13"/>
                      <w:szCs w:val="13"/>
                      <w:u w:val="single"/>
                    </w:rPr>
                  </w:pPr>
                  <w:r>
                    <w:rPr>
                      <w:rFonts w:hint="eastAsia"/>
                      <w:i/>
                      <w:iCs/>
                      <w:color w:val="auto"/>
                      <w:sz w:val="13"/>
                      <w:szCs w:val="13"/>
                      <w:u w:val="single"/>
                    </w:rPr>
                    <w:t>3</w:t>
                  </w:r>
                </w:p>
                <w:p w14:paraId="01614B8A">
                  <w:pPr>
                    <w:adjustRightInd w:val="0"/>
                    <w:snapToGrid w:val="0"/>
                    <w:jc w:val="center"/>
                    <w:rPr>
                      <w:i/>
                      <w:iCs/>
                      <w:color w:val="auto"/>
                      <w:sz w:val="15"/>
                      <w:szCs w:val="15"/>
                      <w:u w:val="single"/>
                    </w:rPr>
                  </w:pPr>
                </w:p>
              </w:tc>
              <w:tc>
                <w:tcPr>
                  <w:tcW w:w="309" w:type="pct"/>
                  <w:vMerge w:val="restart"/>
                  <w:tcBorders>
                    <w:tl2br w:val="nil"/>
                    <w:tr2bl w:val="nil"/>
                  </w:tcBorders>
                  <w:shd w:val="clear" w:color="auto" w:fill="auto"/>
                  <w:vAlign w:val="center"/>
                </w:tcPr>
                <w:p w14:paraId="684B2BC0">
                  <w:pPr>
                    <w:adjustRightInd w:val="0"/>
                    <w:snapToGrid w:val="0"/>
                    <w:jc w:val="center"/>
                    <w:rPr>
                      <w:i/>
                      <w:iCs/>
                      <w:color w:val="auto"/>
                      <w:sz w:val="13"/>
                      <w:szCs w:val="13"/>
                      <w:u w:val="single"/>
                    </w:rPr>
                  </w:pPr>
                  <w:r>
                    <w:rPr>
                      <w:rFonts w:hint="eastAsia"/>
                      <w:i/>
                      <w:iCs/>
                      <w:color w:val="auto"/>
                      <w:sz w:val="13"/>
                      <w:szCs w:val="13"/>
                      <w:u w:val="single"/>
                    </w:rPr>
                    <w:t>2</w:t>
                  </w:r>
                </w:p>
                <w:p w14:paraId="3FDFA8D0">
                  <w:pPr>
                    <w:adjustRightInd w:val="0"/>
                    <w:snapToGrid w:val="0"/>
                    <w:jc w:val="center"/>
                    <w:rPr>
                      <w:i/>
                      <w:iCs/>
                      <w:color w:val="auto"/>
                      <w:sz w:val="15"/>
                      <w:szCs w:val="15"/>
                      <w:u w:val="single"/>
                    </w:rPr>
                  </w:pPr>
                </w:p>
              </w:tc>
              <w:tc>
                <w:tcPr>
                  <w:tcW w:w="564" w:type="pct"/>
                  <w:tcBorders>
                    <w:tl2br w:val="nil"/>
                    <w:tr2bl w:val="nil"/>
                  </w:tcBorders>
                  <w:shd w:val="clear" w:color="auto" w:fill="auto"/>
                  <w:vAlign w:val="center"/>
                </w:tcPr>
                <w:p w14:paraId="73858513">
                  <w:pPr>
                    <w:adjustRightInd w:val="0"/>
                    <w:snapToGrid w:val="0"/>
                    <w:jc w:val="center"/>
                    <w:rPr>
                      <w:i/>
                      <w:iCs/>
                      <w:color w:val="auto"/>
                      <w:sz w:val="13"/>
                      <w:szCs w:val="13"/>
                      <w:u w:val="single"/>
                    </w:rPr>
                  </w:pPr>
                  <w:r>
                    <w:rPr>
                      <w:rFonts w:hint="eastAsia"/>
                      <w:i/>
                      <w:iCs/>
                      <w:color w:val="auto"/>
                      <w:sz w:val="13"/>
                      <w:szCs w:val="13"/>
                      <w:u w:val="single"/>
                    </w:rPr>
                    <w:t>东，13m</w:t>
                  </w:r>
                </w:p>
              </w:tc>
              <w:tc>
                <w:tcPr>
                  <w:tcW w:w="489" w:type="pct"/>
                  <w:tcBorders>
                    <w:tl2br w:val="nil"/>
                    <w:tr2bl w:val="nil"/>
                  </w:tcBorders>
                  <w:shd w:val="clear" w:color="auto" w:fill="auto"/>
                  <w:vAlign w:val="center"/>
                </w:tcPr>
                <w:p w14:paraId="7A9494E6">
                  <w:pPr>
                    <w:adjustRightInd w:val="0"/>
                    <w:snapToGrid w:val="0"/>
                    <w:jc w:val="center"/>
                    <w:rPr>
                      <w:i/>
                      <w:iCs/>
                      <w:color w:val="auto"/>
                      <w:sz w:val="13"/>
                      <w:szCs w:val="13"/>
                      <w:u w:val="single"/>
                    </w:rPr>
                  </w:pPr>
                  <w:r>
                    <w:rPr>
                      <w:rFonts w:hint="eastAsia"/>
                      <w:i/>
                      <w:iCs/>
                      <w:color w:val="auto"/>
                      <w:sz w:val="13"/>
                      <w:szCs w:val="13"/>
                      <w:u w:val="single"/>
                    </w:rPr>
                    <w:t>48</w:t>
                  </w:r>
                </w:p>
              </w:tc>
              <w:tc>
                <w:tcPr>
                  <w:tcW w:w="399" w:type="pct"/>
                  <w:vMerge w:val="restart"/>
                  <w:tcBorders>
                    <w:tl2br w:val="nil"/>
                    <w:tr2bl w:val="nil"/>
                  </w:tcBorders>
                  <w:shd w:val="clear" w:color="auto" w:fill="auto"/>
                  <w:vAlign w:val="center"/>
                </w:tcPr>
                <w:p w14:paraId="7E61D4C4">
                  <w:pPr>
                    <w:adjustRightInd w:val="0"/>
                    <w:snapToGrid w:val="0"/>
                    <w:jc w:val="center"/>
                    <w:rPr>
                      <w:i/>
                      <w:iCs/>
                      <w:color w:val="auto"/>
                      <w:sz w:val="13"/>
                      <w:szCs w:val="13"/>
                      <w:u w:val="single"/>
                    </w:rPr>
                  </w:pPr>
                  <w:r>
                    <w:rPr>
                      <w:rFonts w:hint="eastAsia"/>
                      <w:i/>
                      <w:iCs/>
                      <w:color w:val="auto"/>
                      <w:sz w:val="13"/>
                      <w:szCs w:val="13"/>
                      <w:u w:val="single"/>
                    </w:rPr>
                    <w:t>16h/d</w:t>
                  </w:r>
                </w:p>
                <w:p w14:paraId="3BED4353">
                  <w:pPr>
                    <w:adjustRightInd w:val="0"/>
                    <w:snapToGrid w:val="0"/>
                    <w:jc w:val="center"/>
                    <w:rPr>
                      <w:i/>
                      <w:iCs/>
                      <w:color w:val="auto"/>
                      <w:sz w:val="15"/>
                      <w:szCs w:val="15"/>
                      <w:u w:val="single"/>
                    </w:rPr>
                  </w:pPr>
                </w:p>
              </w:tc>
              <w:tc>
                <w:tcPr>
                  <w:tcW w:w="476" w:type="pct"/>
                  <w:vMerge w:val="restart"/>
                  <w:tcBorders>
                    <w:tl2br w:val="nil"/>
                    <w:tr2bl w:val="nil"/>
                  </w:tcBorders>
                  <w:shd w:val="clear" w:color="auto" w:fill="auto"/>
                  <w:vAlign w:val="center"/>
                </w:tcPr>
                <w:p w14:paraId="5BEF79EA">
                  <w:pPr>
                    <w:adjustRightInd w:val="0"/>
                    <w:snapToGrid w:val="0"/>
                    <w:jc w:val="center"/>
                    <w:rPr>
                      <w:i/>
                      <w:iCs/>
                      <w:color w:val="auto"/>
                      <w:sz w:val="13"/>
                      <w:szCs w:val="13"/>
                      <w:u w:val="single"/>
                    </w:rPr>
                  </w:pPr>
                  <w:r>
                    <w:rPr>
                      <w:rFonts w:hint="eastAsia"/>
                      <w:i/>
                      <w:iCs/>
                      <w:color w:val="auto"/>
                      <w:sz w:val="13"/>
                      <w:szCs w:val="13"/>
                      <w:u w:val="single"/>
                    </w:rPr>
                    <w:t>20</w:t>
                  </w:r>
                </w:p>
                <w:p w14:paraId="0CFA180B">
                  <w:pPr>
                    <w:adjustRightInd w:val="0"/>
                    <w:snapToGrid w:val="0"/>
                    <w:jc w:val="center"/>
                    <w:rPr>
                      <w:i/>
                      <w:iCs/>
                      <w:color w:val="auto"/>
                      <w:sz w:val="15"/>
                      <w:szCs w:val="15"/>
                      <w:u w:val="single"/>
                    </w:rPr>
                  </w:pPr>
                </w:p>
              </w:tc>
              <w:tc>
                <w:tcPr>
                  <w:tcW w:w="398" w:type="pct"/>
                  <w:tcBorders>
                    <w:tl2br w:val="nil"/>
                    <w:tr2bl w:val="nil"/>
                  </w:tcBorders>
                  <w:shd w:val="clear" w:color="auto" w:fill="auto"/>
                  <w:vAlign w:val="center"/>
                </w:tcPr>
                <w:p w14:paraId="1C5665C8">
                  <w:pPr>
                    <w:adjustRightInd w:val="0"/>
                    <w:snapToGrid w:val="0"/>
                    <w:jc w:val="center"/>
                    <w:rPr>
                      <w:i/>
                      <w:iCs/>
                      <w:color w:val="auto"/>
                      <w:sz w:val="13"/>
                      <w:szCs w:val="13"/>
                      <w:u w:val="single"/>
                    </w:rPr>
                  </w:pPr>
                  <w:r>
                    <w:rPr>
                      <w:rFonts w:hint="eastAsia"/>
                      <w:i/>
                      <w:iCs/>
                      <w:color w:val="auto"/>
                      <w:sz w:val="13"/>
                      <w:szCs w:val="13"/>
                      <w:u w:val="single"/>
                    </w:rPr>
                    <w:t>28</w:t>
                  </w:r>
                </w:p>
              </w:tc>
              <w:tc>
                <w:tcPr>
                  <w:tcW w:w="332" w:type="pct"/>
                  <w:tcBorders>
                    <w:tl2br w:val="nil"/>
                    <w:tr2bl w:val="nil"/>
                  </w:tcBorders>
                  <w:shd w:val="clear" w:color="auto" w:fill="auto"/>
                  <w:vAlign w:val="center"/>
                </w:tcPr>
                <w:p w14:paraId="5F4580C5">
                  <w:pPr>
                    <w:adjustRightInd w:val="0"/>
                    <w:snapToGrid w:val="0"/>
                    <w:jc w:val="center"/>
                    <w:rPr>
                      <w:i/>
                      <w:iCs/>
                      <w:color w:val="auto"/>
                      <w:sz w:val="13"/>
                      <w:szCs w:val="13"/>
                      <w:u w:val="single"/>
                    </w:rPr>
                  </w:pPr>
                  <w:r>
                    <w:rPr>
                      <w:rFonts w:hint="eastAsia"/>
                      <w:i/>
                      <w:iCs/>
                      <w:color w:val="auto"/>
                      <w:sz w:val="13"/>
                      <w:szCs w:val="13"/>
                      <w:u w:val="single"/>
                    </w:rPr>
                    <w:t>1m</w:t>
                  </w:r>
                </w:p>
              </w:tc>
            </w:tr>
            <w:tr w14:paraId="77CA24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333" w:type="pct"/>
                  <w:vMerge w:val="continue"/>
                  <w:tcBorders>
                    <w:tl2br w:val="nil"/>
                    <w:tr2bl w:val="nil"/>
                  </w:tcBorders>
                  <w:vAlign w:val="center"/>
                </w:tcPr>
                <w:p w14:paraId="02D6BBEC">
                  <w:pPr>
                    <w:adjustRightInd w:val="0"/>
                    <w:snapToGrid w:val="0"/>
                    <w:jc w:val="center"/>
                    <w:rPr>
                      <w:i/>
                      <w:iCs/>
                      <w:color w:val="auto"/>
                      <w:sz w:val="15"/>
                      <w:szCs w:val="15"/>
                      <w:u w:val="single"/>
                    </w:rPr>
                  </w:pPr>
                </w:p>
              </w:tc>
              <w:tc>
                <w:tcPr>
                  <w:tcW w:w="399" w:type="pct"/>
                  <w:vMerge w:val="continue"/>
                  <w:tcBorders>
                    <w:tl2br w:val="nil"/>
                    <w:tr2bl w:val="nil"/>
                  </w:tcBorders>
                  <w:vAlign w:val="center"/>
                </w:tcPr>
                <w:p w14:paraId="19EBDD8D">
                  <w:pPr>
                    <w:adjustRightInd w:val="0"/>
                    <w:snapToGrid w:val="0"/>
                    <w:jc w:val="center"/>
                    <w:rPr>
                      <w:i/>
                      <w:iCs/>
                      <w:color w:val="auto"/>
                      <w:sz w:val="15"/>
                      <w:szCs w:val="15"/>
                      <w:u w:val="single"/>
                    </w:rPr>
                  </w:pPr>
                </w:p>
              </w:tc>
              <w:tc>
                <w:tcPr>
                  <w:tcW w:w="398" w:type="pct"/>
                  <w:vMerge w:val="continue"/>
                  <w:tcBorders>
                    <w:tl2br w:val="nil"/>
                    <w:tr2bl w:val="nil"/>
                  </w:tcBorders>
                  <w:vAlign w:val="center"/>
                </w:tcPr>
                <w:p w14:paraId="4C4C58C4">
                  <w:pPr>
                    <w:adjustRightInd w:val="0"/>
                    <w:snapToGrid w:val="0"/>
                    <w:jc w:val="center"/>
                    <w:rPr>
                      <w:i/>
                      <w:iCs/>
                      <w:color w:val="auto"/>
                      <w:sz w:val="15"/>
                      <w:szCs w:val="15"/>
                      <w:u w:val="single"/>
                    </w:rPr>
                  </w:pPr>
                </w:p>
              </w:tc>
              <w:tc>
                <w:tcPr>
                  <w:tcW w:w="402" w:type="pct"/>
                  <w:vMerge w:val="continue"/>
                  <w:tcBorders>
                    <w:tl2br w:val="nil"/>
                    <w:tr2bl w:val="nil"/>
                  </w:tcBorders>
                  <w:vAlign w:val="center"/>
                </w:tcPr>
                <w:p w14:paraId="0839163F">
                  <w:pPr>
                    <w:adjustRightInd w:val="0"/>
                    <w:snapToGrid w:val="0"/>
                    <w:jc w:val="center"/>
                    <w:rPr>
                      <w:i/>
                      <w:iCs/>
                      <w:color w:val="auto"/>
                      <w:sz w:val="15"/>
                      <w:szCs w:val="15"/>
                      <w:u w:val="single"/>
                    </w:rPr>
                  </w:pPr>
                </w:p>
              </w:tc>
              <w:tc>
                <w:tcPr>
                  <w:tcW w:w="251" w:type="pct"/>
                  <w:vMerge w:val="continue"/>
                  <w:tcBorders>
                    <w:tl2br w:val="nil"/>
                    <w:tr2bl w:val="nil"/>
                  </w:tcBorders>
                  <w:vAlign w:val="center"/>
                </w:tcPr>
                <w:p w14:paraId="3E9BD9DC">
                  <w:pPr>
                    <w:adjustRightInd w:val="0"/>
                    <w:snapToGrid w:val="0"/>
                    <w:jc w:val="center"/>
                    <w:rPr>
                      <w:i/>
                      <w:iCs/>
                      <w:color w:val="auto"/>
                      <w:sz w:val="15"/>
                      <w:szCs w:val="15"/>
                      <w:u w:val="single"/>
                    </w:rPr>
                  </w:pPr>
                </w:p>
              </w:tc>
              <w:tc>
                <w:tcPr>
                  <w:tcW w:w="244" w:type="pct"/>
                  <w:vMerge w:val="continue"/>
                  <w:tcBorders>
                    <w:tl2br w:val="nil"/>
                    <w:tr2bl w:val="nil"/>
                  </w:tcBorders>
                  <w:vAlign w:val="center"/>
                </w:tcPr>
                <w:p w14:paraId="22DBA9C8">
                  <w:pPr>
                    <w:adjustRightInd w:val="0"/>
                    <w:snapToGrid w:val="0"/>
                    <w:jc w:val="center"/>
                    <w:rPr>
                      <w:i/>
                      <w:iCs/>
                      <w:color w:val="auto"/>
                      <w:sz w:val="15"/>
                      <w:szCs w:val="15"/>
                      <w:u w:val="single"/>
                    </w:rPr>
                  </w:pPr>
                </w:p>
              </w:tc>
              <w:tc>
                <w:tcPr>
                  <w:tcW w:w="309" w:type="pct"/>
                  <w:vMerge w:val="continue"/>
                  <w:tcBorders>
                    <w:tl2br w:val="nil"/>
                    <w:tr2bl w:val="nil"/>
                  </w:tcBorders>
                  <w:vAlign w:val="center"/>
                </w:tcPr>
                <w:p w14:paraId="3C1CB89F">
                  <w:pPr>
                    <w:adjustRightInd w:val="0"/>
                    <w:snapToGrid w:val="0"/>
                    <w:jc w:val="center"/>
                    <w:rPr>
                      <w:i/>
                      <w:iCs/>
                      <w:color w:val="auto"/>
                      <w:sz w:val="15"/>
                      <w:szCs w:val="15"/>
                      <w:u w:val="single"/>
                    </w:rPr>
                  </w:pPr>
                </w:p>
              </w:tc>
              <w:tc>
                <w:tcPr>
                  <w:tcW w:w="564" w:type="pct"/>
                  <w:tcBorders>
                    <w:tl2br w:val="nil"/>
                    <w:tr2bl w:val="nil"/>
                  </w:tcBorders>
                  <w:shd w:val="clear" w:color="auto" w:fill="auto"/>
                  <w:vAlign w:val="center"/>
                </w:tcPr>
                <w:p w14:paraId="15C8E506">
                  <w:pPr>
                    <w:adjustRightInd w:val="0"/>
                    <w:snapToGrid w:val="0"/>
                    <w:jc w:val="center"/>
                    <w:rPr>
                      <w:i/>
                      <w:iCs/>
                      <w:color w:val="auto"/>
                      <w:sz w:val="13"/>
                      <w:szCs w:val="13"/>
                      <w:u w:val="single"/>
                    </w:rPr>
                  </w:pPr>
                  <w:r>
                    <w:rPr>
                      <w:rFonts w:hint="eastAsia"/>
                      <w:i/>
                      <w:iCs/>
                      <w:color w:val="auto"/>
                      <w:sz w:val="13"/>
                      <w:szCs w:val="13"/>
                      <w:u w:val="single"/>
                    </w:rPr>
                    <w:t>南，3m</w:t>
                  </w:r>
                </w:p>
              </w:tc>
              <w:tc>
                <w:tcPr>
                  <w:tcW w:w="489" w:type="pct"/>
                  <w:tcBorders>
                    <w:tl2br w:val="nil"/>
                    <w:tr2bl w:val="nil"/>
                  </w:tcBorders>
                  <w:shd w:val="clear" w:color="auto" w:fill="auto"/>
                  <w:vAlign w:val="center"/>
                </w:tcPr>
                <w:p w14:paraId="38DEE5B3">
                  <w:pPr>
                    <w:adjustRightInd w:val="0"/>
                    <w:snapToGrid w:val="0"/>
                    <w:jc w:val="center"/>
                    <w:rPr>
                      <w:i/>
                      <w:iCs/>
                      <w:color w:val="auto"/>
                      <w:sz w:val="13"/>
                      <w:szCs w:val="13"/>
                      <w:u w:val="single"/>
                    </w:rPr>
                  </w:pPr>
                  <w:r>
                    <w:rPr>
                      <w:rFonts w:hint="eastAsia"/>
                      <w:i/>
                      <w:iCs/>
                      <w:color w:val="auto"/>
                      <w:sz w:val="13"/>
                      <w:szCs w:val="13"/>
                      <w:u w:val="single"/>
                    </w:rPr>
                    <w:t>60</w:t>
                  </w:r>
                </w:p>
              </w:tc>
              <w:tc>
                <w:tcPr>
                  <w:tcW w:w="399" w:type="pct"/>
                  <w:vMerge w:val="continue"/>
                  <w:tcBorders>
                    <w:tl2br w:val="nil"/>
                    <w:tr2bl w:val="nil"/>
                  </w:tcBorders>
                  <w:vAlign w:val="center"/>
                </w:tcPr>
                <w:p w14:paraId="06FB3B6C">
                  <w:pPr>
                    <w:adjustRightInd w:val="0"/>
                    <w:snapToGrid w:val="0"/>
                    <w:jc w:val="center"/>
                    <w:rPr>
                      <w:i/>
                      <w:iCs/>
                      <w:color w:val="auto"/>
                      <w:sz w:val="15"/>
                      <w:szCs w:val="15"/>
                      <w:u w:val="single"/>
                    </w:rPr>
                  </w:pPr>
                </w:p>
              </w:tc>
              <w:tc>
                <w:tcPr>
                  <w:tcW w:w="476" w:type="pct"/>
                  <w:vMerge w:val="continue"/>
                  <w:tcBorders>
                    <w:tl2br w:val="nil"/>
                    <w:tr2bl w:val="nil"/>
                  </w:tcBorders>
                  <w:vAlign w:val="center"/>
                </w:tcPr>
                <w:p w14:paraId="7D0FEC7A">
                  <w:pPr>
                    <w:adjustRightInd w:val="0"/>
                    <w:snapToGrid w:val="0"/>
                    <w:jc w:val="center"/>
                    <w:rPr>
                      <w:i/>
                      <w:iCs/>
                      <w:color w:val="auto"/>
                      <w:sz w:val="15"/>
                      <w:szCs w:val="15"/>
                      <w:u w:val="single"/>
                    </w:rPr>
                  </w:pPr>
                </w:p>
              </w:tc>
              <w:tc>
                <w:tcPr>
                  <w:tcW w:w="398" w:type="pct"/>
                  <w:tcBorders>
                    <w:tl2br w:val="nil"/>
                    <w:tr2bl w:val="nil"/>
                  </w:tcBorders>
                  <w:shd w:val="clear" w:color="auto" w:fill="auto"/>
                  <w:vAlign w:val="center"/>
                </w:tcPr>
                <w:p w14:paraId="6F89F1B1">
                  <w:pPr>
                    <w:adjustRightInd w:val="0"/>
                    <w:snapToGrid w:val="0"/>
                    <w:jc w:val="center"/>
                    <w:rPr>
                      <w:i/>
                      <w:iCs/>
                      <w:color w:val="auto"/>
                      <w:sz w:val="13"/>
                      <w:szCs w:val="13"/>
                      <w:u w:val="single"/>
                    </w:rPr>
                  </w:pPr>
                  <w:r>
                    <w:rPr>
                      <w:rFonts w:hint="eastAsia"/>
                      <w:i/>
                      <w:iCs/>
                      <w:color w:val="auto"/>
                      <w:sz w:val="13"/>
                      <w:szCs w:val="13"/>
                      <w:u w:val="single"/>
                    </w:rPr>
                    <w:t>40</w:t>
                  </w:r>
                </w:p>
              </w:tc>
              <w:tc>
                <w:tcPr>
                  <w:tcW w:w="332" w:type="pct"/>
                  <w:tcBorders>
                    <w:tl2br w:val="nil"/>
                    <w:tr2bl w:val="nil"/>
                  </w:tcBorders>
                  <w:shd w:val="clear" w:color="auto" w:fill="auto"/>
                  <w:vAlign w:val="center"/>
                </w:tcPr>
                <w:p w14:paraId="0FE63EA0">
                  <w:pPr>
                    <w:adjustRightInd w:val="0"/>
                    <w:snapToGrid w:val="0"/>
                    <w:jc w:val="center"/>
                    <w:rPr>
                      <w:i/>
                      <w:iCs/>
                      <w:color w:val="auto"/>
                      <w:sz w:val="13"/>
                      <w:szCs w:val="13"/>
                      <w:u w:val="single"/>
                    </w:rPr>
                  </w:pPr>
                  <w:r>
                    <w:rPr>
                      <w:rFonts w:hint="eastAsia"/>
                      <w:i/>
                      <w:iCs/>
                      <w:color w:val="auto"/>
                      <w:sz w:val="13"/>
                      <w:szCs w:val="13"/>
                      <w:u w:val="single"/>
                    </w:rPr>
                    <w:t>1m</w:t>
                  </w:r>
                </w:p>
              </w:tc>
            </w:tr>
            <w:tr w14:paraId="3514DF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333" w:type="pct"/>
                  <w:vMerge w:val="continue"/>
                  <w:tcBorders>
                    <w:tl2br w:val="nil"/>
                    <w:tr2bl w:val="nil"/>
                  </w:tcBorders>
                  <w:vAlign w:val="center"/>
                </w:tcPr>
                <w:p w14:paraId="6C7D2B18">
                  <w:pPr>
                    <w:adjustRightInd w:val="0"/>
                    <w:snapToGrid w:val="0"/>
                    <w:jc w:val="center"/>
                    <w:rPr>
                      <w:i/>
                      <w:iCs/>
                      <w:color w:val="auto"/>
                      <w:sz w:val="15"/>
                      <w:szCs w:val="15"/>
                      <w:u w:val="single"/>
                    </w:rPr>
                  </w:pPr>
                </w:p>
              </w:tc>
              <w:tc>
                <w:tcPr>
                  <w:tcW w:w="399" w:type="pct"/>
                  <w:vMerge w:val="continue"/>
                  <w:tcBorders>
                    <w:tl2br w:val="nil"/>
                    <w:tr2bl w:val="nil"/>
                  </w:tcBorders>
                  <w:vAlign w:val="center"/>
                </w:tcPr>
                <w:p w14:paraId="23377763">
                  <w:pPr>
                    <w:adjustRightInd w:val="0"/>
                    <w:snapToGrid w:val="0"/>
                    <w:jc w:val="center"/>
                    <w:rPr>
                      <w:i/>
                      <w:iCs/>
                      <w:color w:val="auto"/>
                      <w:sz w:val="15"/>
                      <w:szCs w:val="15"/>
                      <w:u w:val="single"/>
                    </w:rPr>
                  </w:pPr>
                </w:p>
              </w:tc>
              <w:tc>
                <w:tcPr>
                  <w:tcW w:w="398" w:type="pct"/>
                  <w:vMerge w:val="continue"/>
                  <w:tcBorders>
                    <w:tl2br w:val="nil"/>
                    <w:tr2bl w:val="nil"/>
                  </w:tcBorders>
                  <w:vAlign w:val="center"/>
                </w:tcPr>
                <w:p w14:paraId="2C3EF867">
                  <w:pPr>
                    <w:adjustRightInd w:val="0"/>
                    <w:snapToGrid w:val="0"/>
                    <w:jc w:val="center"/>
                    <w:rPr>
                      <w:i/>
                      <w:iCs/>
                      <w:color w:val="auto"/>
                      <w:sz w:val="15"/>
                      <w:szCs w:val="15"/>
                      <w:u w:val="single"/>
                    </w:rPr>
                  </w:pPr>
                </w:p>
              </w:tc>
              <w:tc>
                <w:tcPr>
                  <w:tcW w:w="402" w:type="pct"/>
                  <w:vMerge w:val="continue"/>
                  <w:tcBorders>
                    <w:tl2br w:val="nil"/>
                    <w:tr2bl w:val="nil"/>
                  </w:tcBorders>
                  <w:vAlign w:val="center"/>
                </w:tcPr>
                <w:p w14:paraId="47FCA96E">
                  <w:pPr>
                    <w:adjustRightInd w:val="0"/>
                    <w:snapToGrid w:val="0"/>
                    <w:jc w:val="center"/>
                    <w:rPr>
                      <w:i/>
                      <w:iCs/>
                      <w:color w:val="auto"/>
                      <w:sz w:val="15"/>
                      <w:szCs w:val="15"/>
                      <w:u w:val="single"/>
                    </w:rPr>
                  </w:pPr>
                </w:p>
              </w:tc>
              <w:tc>
                <w:tcPr>
                  <w:tcW w:w="251" w:type="pct"/>
                  <w:vMerge w:val="continue"/>
                  <w:tcBorders>
                    <w:tl2br w:val="nil"/>
                    <w:tr2bl w:val="nil"/>
                  </w:tcBorders>
                  <w:vAlign w:val="center"/>
                </w:tcPr>
                <w:p w14:paraId="2569D223">
                  <w:pPr>
                    <w:adjustRightInd w:val="0"/>
                    <w:snapToGrid w:val="0"/>
                    <w:jc w:val="center"/>
                    <w:rPr>
                      <w:i/>
                      <w:iCs/>
                      <w:color w:val="auto"/>
                      <w:sz w:val="15"/>
                      <w:szCs w:val="15"/>
                      <w:u w:val="single"/>
                    </w:rPr>
                  </w:pPr>
                </w:p>
              </w:tc>
              <w:tc>
                <w:tcPr>
                  <w:tcW w:w="244" w:type="pct"/>
                  <w:vMerge w:val="continue"/>
                  <w:tcBorders>
                    <w:tl2br w:val="nil"/>
                    <w:tr2bl w:val="nil"/>
                  </w:tcBorders>
                  <w:vAlign w:val="center"/>
                </w:tcPr>
                <w:p w14:paraId="7592DA1B">
                  <w:pPr>
                    <w:adjustRightInd w:val="0"/>
                    <w:snapToGrid w:val="0"/>
                    <w:jc w:val="center"/>
                    <w:rPr>
                      <w:i/>
                      <w:iCs/>
                      <w:color w:val="auto"/>
                      <w:sz w:val="15"/>
                      <w:szCs w:val="15"/>
                      <w:u w:val="single"/>
                    </w:rPr>
                  </w:pPr>
                </w:p>
              </w:tc>
              <w:tc>
                <w:tcPr>
                  <w:tcW w:w="309" w:type="pct"/>
                  <w:vMerge w:val="continue"/>
                  <w:tcBorders>
                    <w:tl2br w:val="nil"/>
                    <w:tr2bl w:val="nil"/>
                  </w:tcBorders>
                  <w:vAlign w:val="center"/>
                </w:tcPr>
                <w:p w14:paraId="31878B2D">
                  <w:pPr>
                    <w:adjustRightInd w:val="0"/>
                    <w:snapToGrid w:val="0"/>
                    <w:jc w:val="center"/>
                    <w:rPr>
                      <w:i/>
                      <w:iCs/>
                      <w:color w:val="auto"/>
                      <w:sz w:val="15"/>
                      <w:szCs w:val="15"/>
                      <w:u w:val="single"/>
                    </w:rPr>
                  </w:pPr>
                </w:p>
              </w:tc>
              <w:tc>
                <w:tcPr>
                  <w:tcW w:w="564" w:type="pct"/>
                  <w:tcBorders>
                    <w:tl2br w:val="nil"/>
                    <w:tr2bl w:val="nil"/>
                  </w:tcBorders>
                  <w:shd w:val="clear" w:color="auto" w:fill="auto"/>
                  <w:vAlign w:val="center"/>
                </w:tcPr>
                <w:p w14:paraId="2DAD2337">
                  <w:pPr>
                    <w:adjustRightInd w:val="0"/>
                    <w:snapToGrid w:val="0"/>
                    <w:jc w:val="center"/>
                    <w:rPr>
                      <w:i/>
                      <w:iCs/>
                      <w:color w:val="auto"/>
                      <w:sz w:val="13"/>
                      <w:szCs w:val="13"/>
                      <w:u w:val="single"/>
                    </w:rPr>
                  </w:pPr>
                  <w:r>
                    <w:rPr>
                      <w:rFonts w:hint="eastAsia"/>
                      <w:i/>
                      <w:iCs/>
                      <w:color w:val="auto"/>
                      <w:sz w:val="13"/>
                      <w:szCs w:val="13"/>
                      <w:u w:val="single"/>
                    </w:rPr>
                    <w:t>西，12m</w:t>
                  </w:r>
                </w:p>
              </w:tc>
              <w:tc>
                <w:tcPr>
                  <w:tcW w:w="489" w:type="pct"/>
                  <w:tcBorders>
                    <w:tl2br w:val="nil"/>
                    <w:tr2bl w:val="nil"/>
                  </w:tcBorders>
                  <w:shd w:val="clear" w:color="auto" w:fill="auto"/>
                  <w:vAlign w:val="center"/>
                </w:tcPr>
                <w:p w14:paraId="3B235914">
                  <w:pPr>
                    <w:adjustRightInd w:val="0"/>
                    <w:snapToGrid w:val="0"/>
                    <w:jc w:val="center"/>
                    <w:rPr>
                      <w:i/>
                      <w:iCs/>
                      <w:color w:val="auto"/>
                      <w:sz w:val="13"/>
                      <w:szCs w:val="13"/>
                      <w:u w:val="single"/>
                    </w:rPr>
                  </w:pPr>
                  <w:r>
                    <w:rPr>
                      <w:rFonts w:hint="eastAsia"/>
                      <w:i/>
                      <w:iCs/>
                      <w:color w:val="auto"/>
                      <w:sz w:val="13"/>
                      <w:szCs w:val="13"/>
                      <w:u w:val="single"/>
                    </w:rPr>
                    <w:t>48</w:t>
                  </w:r>
                </w:p>
              </w:tc>
              <w:tc>
                <w:tcPr>
                  <w:tcW w:w="399" w:type="pct"/>
                  <w:vMerge w:val="continue"/>
                  <w:tcBorders>
                    <w:tl2br w:val="nil"/>
                    <w:tr2bl w:val="nil"/>
                  </w:tcBorders>
                  <w:vAlign w:val="center"/>
                </w:tcPr>
                <w:p w14:paraId="4E2A4E5A">
                  <w:pPr>
                    <w:adjustRightInd w:val="0"/>
                    <w:snapToGrid w:val="0"/>
                    <w:jc w:val="center"/>
                    <w:rPr>
                      <w:i/>
                      <w:iCs/>
                      <w:color w:val="auto"/>
                      <w:sz w:val="15"/>
                      <w:szCs w:val="15"/>
                      <w:u w:val="single"/>
                    </w:rPr>
                  </w:pPr>
                </w:p>
              </w:tc>
              <w:tc>
                <w:tcPr>
                  <w:tcW w:w="476" w:type="pct"/>
                  <w:vMerge w:val="continue"/>
                  <w:tcBorders>
                    <w:tl2br w:val="nil"/>
                    <w:tr2bl w:val="nil"/>
                  </w:tcBorders>
                  <w:vAlign w:val="center"/>
                </w:tcPr>
                <w:p w14:paraId="3F94F9CD">
                  <w:pPr>
                    <w:adjustRightInd w:val="0"/>
                    <w:snapToGrid w:val="0"/>
                    <w:jc w:val="center"/>
                    <w:rPr>
                      <w:i/>
                      <w:iCs/>
                      <w:color w:val="auto"/>
                      <w:sz w:val="15"/>
                      <w:szCs w:val="15"/>
                      <w:u w:val="single"/>
                    </w:rPr>
                  </w:pPr>
                </w:p>
              </w:tc>
              <w:tc>
                <w:tcPr>
                  <w:tcW w:w="398" w:type="pct"/>
                  <w:tcBorders>
                    <w:tl2br w:val="nil"/>
                    <w:tr2bl w:val="nil"/>
                  </w:tcBorders>
                  <w:shd w:val="clear" w:color="auto" w:fill="auto"/>
                  <w:vAlign w:val="center"/>
                </w:tcPr>
                <w:p w14:paraId="7923477F">
                  <w:pPr>
                    <w:adjustRightInd w:val="0"/>
                    <w:snapToGrid w:val="0"/>
                    <w:jc w:val="center"/>
                    <w:rPr>
                      <w:i/>
                      <w:iCs/>
                      <w:color w:val="auto"/>
                      <w:sz w:val="13"/>
                      <w:szCs w:val="13"/>
                      <w:u w:val="single"/>
                    </w:rPr>
                  </w:pPr>
                  <w:r>
                    <w:rPr>
                      <w:rFonts w:hint="eastAsia"/>
                      <w:i/>
                      <w:iCs/>
                      <w:color w:val="auto"/>
                      <w:sz w:val="13"/>
                      <w:szCs w:val="13"/>
                      <w:u w:val="single"/>
                    </w:rPr>
                    <w:t>28</w:t>
                  </w:r>
                </w:p>
              </w:tc>
              <w:tc>
                <w:tcPr>
                  <w:tcW w:w="332" w:type="pct"/>
                  <w:tcBorders>
                    <w:tl2br w:val="nil"/>
                    <w:tr2bl w:val="nil"/>
                  </w:tcBorders>
                  <w:shd w:val="clear" w:color="auto" w:fill="auto"/>
                  <w:vAlign w:val="center"/>
                </w:tcPr>
                <w:p w14:paraId="67633F10">
                  <w:pPr>
                    <w:adjustRightInd w:val="0"/>
                    <w:snapToGrid w:val="0"/>
                    <w:jc w:val="center"/>
                    <w:rPr>
                      <w:i/>
                      <w:iCs/>
                      <w:color w:val="auto"/>
                      <w:sz w:val="13"/>
                      <w:szCs w:val="13"/>
                      <w:u w:val="single"/>
                    </w:rPr>
                  </w:pPr>
                  <w:r>
                    <w:rPr>
                      <w:rFonts w:hint="eastAsia"/>
                      <w:i/>
                      <w:iCs/>
                      <w:color w:val="auto"/>
                      <w:sz w:val="13"/>
                      <w:szCs w:val="13"/>
                      <w:u w:val="single"/>
                    </w:rPr>
                    <w:t>1m</w:t>
                  </w:r>
                </w:p>
              </w:tc>
            </w:tr>
            <w:tr w14:paraId="4F76CB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333" w:type="pct"/>
                  <w:vMerge w:val="continue"/>
                  <w:tcBorders>
                    <w:tl2br w:val="nil"/>
                    <w:tr2bl w:val="nil"/>
                  </w:tcBorders>
                  <w:vAlign w:val="center"/>
                </w:tcPr>
                <w:p w14:paraId="27244FE3">
                  <w:pPr>
                    <w:adjustRightInd w:val="0"/>
                    <w:snapToGrid w:val="0"/>
                    <w:jc w:val="center"/>
                    <w:rPr>
                      <w:i/>
                      <w:iCs/>
                      <w:color w:val="auto"/>
                      <w:sz w:val="15"/>
                      <w:szCs w:val="15"/>
                      <w:u w:val="single"/>
                    </w:rPr>
                  </w:pPr>
                </w:p>
              </w:tc>
              <w:tc>
                <w:tcPr>
                  <w:tcW w:w="399" w:type="pct"/>
                  <w:vMerge w:val="continue"/>
                  <w:tcBorders>
                    <w:tl2br w:val="nil"/>
                    <w:tr2bl w:val="nil"/>
                  </w:tcBorders>
                  <w:vAlign w:val="center"/>
                </w:tcPr>
                <w:p w14:paraId="012E6CC1">
                  <w:pPr>
                    <w:adjustRightInd w:val="0"/>
                    <w:snapToGrid w:val="0"/>
                    <w:jc w:val="center"/>
                    <w:rPr>
                      <w:i/>
                      <w:iCs/>
                      <w:color w:val="auto"/>
                      <w:sz w:val="15"/>
                      <w:szCs w:val="15"/>
                      <w:u w:val="single"/>
                    </w:rPr>
                  </w:pPr>
                </w:p>
              </w:tc>
              <w:tc>
                <w:tcPr>
                  <w:tcW w:w="398" w:type="pct"/>
                  <w:vMerge w:val="continue"/>
                  <w:tcBorders>
                    <w:tl2br w:val="nil"/>
                    <w:tr2bl w:val="nil"/>
                  </w:tcBorders>
                  <w:vAlign w:val="center"/>
                </w:tcPr>
                <w:p w14:paraId="40A9B31C">
                  <w:pPr>
                    <w:adjustRightInd w:val="0"/>
                    <w:snapToGrid w:val="0"/>
                    <w:jc w:val="center"/>
                    <w:rPr>
                      <w:i/>
                      <w:iCs/>
                      <w:color w:val="auto"/>
                      <w:sz w:val="15"/>
                      <w:szCs w:val="15"/>
                      <w:u w:val="single"/>
                    </w:rPr>
                  </w:pPr>
                </w:p>
              </w:tc>
              <w:tc>
                <w:tcPr>
                  <w:tcW w:w="402" w:type="pct"/>
                  <w:vMerge w:val="continue"/>
                  <w:tcBorders>
                    <w:tl2br w:val="nil"/>
                    <w:tr2bl w:val="nil"/>
                  </w:tcBorders>
                  <w:vAlign w:val="center"/>
                </w:tcPr>
                <w:p w14:paraId="35971F1B">
                  <w:pPr>
                    <w:adjustRightInd w:val="0"/>
                    <w:snapToGrid w:val="0"/>
                    <w:jc w:val="center"/>
                    <w:rPr>
                      <w:i/>
                      <w:iCs/>
                      <w:color w:val="auto"/>
                      <w:sz w:val="15"/>
                      <w:szCs w:val="15"/>
                      <w:u w:val="single"/>
                    </w:rPr>
                  </w:pPr>
                </w:p>
              </w:tc>
              <w:tc>
                <w:tcPr>
                  <w:tcW w:w="251" w:type="pct"/>
                  <w:vMerge w:val="continue"/>
                  <w:tcBorders>
                    <w:tl2br w:val="nil"/>
                    <w:tr2bl w:val="nil"/>
                  </w:tcBorders>
                  <w:vAlign w:val="center"/>
                </w:tcPr>
                <w:p w14:paraId="0F3AF2D6">
                  <w:pPr>
                    <w:adjustRightInd w:val="0"/>
                    <w:snapToGrid w:val="0"/>
                    <w:jc w:val="center"/>
                    <w:rPr>
                      <w:i/>
                      <w:iCs/>
                      <w:color w:val="auto"/>
                      <w:sz w:val="15"/>
                      <w:szCs w:val="15"/>
                      <w:u w:val="single"/>
                    </w:rPr>
                  </w:pPr>
                </w:p>
              </w:tc>
              <w:tc>
                <w:tcPr>
                  <w:tcW w:w="244" w:type="pct"/>
                  <w:vMerge w:val="continue"/>
                  <w:tcBorders>
                    <w:tl2br w:val="nil"/>
                    <w:tr2bl w:val="nil"/>
                  </w:tcBorders>
                  <w:vAlign w:val="center"/>
                </w:tcPr>
                <w:p w14:paraId="16BDF7C2">
                  <w:pPr>
                    <w:adjustRightInd w:val="0"/>
                    <w:snapToGrid w:val="0"/>
                    <w:jc w:val="center"/>
                    <w:rPr>
                      <w:i/>
                      <w:iCs/>
                      <w:color w:val="auto"/>
                      <w:sz w:val="15"/>
                      <w:szCs w:val="15"/>
                      <w:u w:val="single"/>
                    </w:rPr>
                  </w:pPr>
                </w:p>
              </w:tc>
              <w:tc>
                <w:tcPr>
                  <w:tcW w:w="309" w:type="pct"/>
                  <w:vMerge w:val="continue"/>
                  <w:tcBorders>
                    <w:tl2br w:val="nil"/>
                    <w:tr2bl w:val="nil"/>
                  </w:tcBorders>
                  <w:vAlign w:val="center"/>
                </w:tcPr>
                <w:p w14:paraId="6B00339A">
                  <w:pPr>
                    <w:adjustRightInd w:val="0"/>
                    <w:snapToGrid w:val="0"/>
                    <w:jc w:val="center"/>
                    <w:rPr>
                      <w:i/>
                      <w:iCs/>
                      <w:color w:val="auto"/>
                      <w:sz w:val="15"/>
                      <w:szCs w:val="15"/>
                      <w:u w:val="single"/>
                    </w:rPr>
                  </w:pPr>
                </w:p>
              </w:tc>
              <w:tc>
                <w:tcPr>
                  <w:tcW w:w="564" w:type="pct"/>
                  <w:tcBorders>
                    <w:tl2br w:val="nil"/>
                    <w:tr2bl w:val="nil"/>
                  </w:tcBorders>
                  <w:shd w:val="clear" w:color="auto" w:fill="auto"/>
                  <w:vAlign w:val="center"/>
                </w:tcPr>
                <w:p w14:paraId="5B772CE5">
                  <w:pPr>
                    <w:adjustRightInd w:val="0"/>
                    <w:snapToGrid w:val="0"/>
                    <w:jc w:val="center"/>
                    <w:rPr>
                      <w:i/>
                      <w:iCs/>
                      <w:color w:val="auto"/>
                      <w:sz w:val="13"/>
                      <w:szCs w:val="13"/>
                      <w:u w:val="single"/>
                    </w:rPr>
                  </w:pPr>
                  <w:r>
                    <w:rPr>
                      <w:rFonts w:hint="eastAsia"/>
                      <w:i/>
                      <w:iCs/>
                      <w:color w:val="auto"/>
                      <w:sz w:val="13"/>
                      <w:szCs w:val="13"/>
                      <w:u w:val="single"/>
                    </w:rPr>
                    <w:t>北，27m</w:t>
                  </w:r>
                </w:p>
              </w:tc>
              <w:tc>
                <w:tcPr>
                  <w:tcW w:w="489" w:type="pct"/>
                  <w:tcBorders>
                    <w:tl2br w:val="nil"/>
                    <w:tr2bl w:val="nil"/>
                  </w:tcBorders>
                  <w:shd w:val="clear" w:color="auto" w:fill="auto"/>
                  <w:vAlign w:val="center"/>
                </w:tcPr>
                <w:p w14:paraId="59595773">
                  <w:pPr>
                    <w:adjustRightInd w:val="0"/>
                    <w:snapToGrid w:val="0"/>
                    <w:jc w:val="center"/>
                    <w:rPr>
                      <w:i/>
                      <w:iCs/>
                      <w:color w:val="auto"/>
                      <w:sz w:val="13"/>
                      <w:szCs w:val="13"/>
                      <w:u w:val="single"/>
                    </w:rPr>
                  </w:pPr>
                  <w:r>
                    <w:rPr>
                      <w:rFonts w:hint="eastAsia"/>
                      <w:i/>
                      <w:iCs/>
                      <w:color w:val="auto"/>
                      <w:sz w:val="13"/>
                      <w:szCs w:val="13"/>
                      <w:u w:val="single"/>
                    </w:rPr>
                    <w:t>41</w:t>
                  </w:r>
                </w:p>
              </w:tc>
              <w:tc>
                <w:tcPr>
                  <w:tcW w:w="399" w:type="pct"/>
                  <w:vMerge w:val="continue"/>
                  <w:tcBorders>
                    <w:tl2br w:val="nil"/>
                    <w:tr2bl w:val="nil"/>
                  </w:tcBorders>
                  <w:vAlign w:val="center"/>
                </w:tcPr>
                <w:p w14:paraId="72E30257">
                  <w:pPr>
                    <w:adjustRightInd w:val="0"/>
                    <w:snapToGrid w:val="0"/>
                    <w:jc w:val="center"/>
                    <w:rPr>
                      <w:i/>
                      <w:iCs/>
                      <w:color w:val="auto"/>
                      <w:sz w:val="15"/>
                      <w:szCs w:val="15"/>
                      <w:u w:val="single"/>
                    </w:rPr>
                  </w:pPr>
                </w:p>
              </w:tc>
              <w:tc>
                <w:tcPr>
                  <w:tcW w:w="476" w:type="pct"/>
                  <w:vMerge w:val="continue"/>
                  <w:tcBorders>
                    <w:tl2br w:val="nil"/>
                    <w:tr2bl w:val="nil"/>
                  </w:tcBorders>
                  <w:vAlign w:val="center"/>
                </w:tcPr>
                <w:p w14:paraId="1108ED80">
                  <w:pPr>
                    <w:adjustRightInd w:val="0"/>
                    <w:snapToGrid w:val="0"/>
                    <w:jc w:val="center"/>
                    <w:rPr>
                      <w:i/>
                      <w:iCs/>
                      <w:color w:val="auto"/>
                      <w:sz w:val="15"/>
                      <w:szCs w:val="15"/>
                      <w:u w:val="single"/>
                    </w:rPr>
                  </w:pPr>
                </w:p>
              </w:tc>
              <w:tc>
                <w:tcPr>
                  <w:tcW w:w="398" w:type="pct"/>
                  <w:tcBorders>
                    <w:tl2br w:val="nil"/>
                    <w:tr2bl w:val="nil"/>
                  </w:tcBorders>
                  <w:shd w:val="clear" w:color="auto" w:fill="auto"/>
                  <w:vAlign w:val="center"/>
                </w:tcPr>
                <w:p w14:paraId="3E3D30E7">
                  <w:pPr>
                    <w:adjustRightInd w:val="0"/>
                    <w:snapToGrid w:val="0"/>
                    <w:jc w:val="center"/>
                    <w:rPr>
                      <w:i/>
                      <w:iCs/>
                      <w:color w:val="auto"/>
                      <w:sz w:val="13"/>
                      <w:szCs w:val="13"/>
                      <w:u w:val="single"/>
                    </w:rPr>
                  </w:pPr>
                  <w:r>
                    <w:rPr>
                      <w:rFonts w:hint="eastAsia"/>
                      <w:i/>
                      <w:iCs/>
                      <w:color w:val="auto"/>
                      <w:sz w:val="13"/>
                      <w:szCs w:val="13"/>
                      <w:u w:val="single"/>
                    </w:rPr>
                    <w:t>21</w:t>
                  </w:r>
                </w:p>
              </w:tc>
              <w:tc>
                <w:tcPr>
                  <w:tcW w:w="332" w:type="pct"/>
                  <w:tcBorders>
                    <w:tl2br w:val="nil"/>
                    <w:tr2bl w:val="nil"/>
                  </w:tcBorders>
                  <w:shd w:val="clear" w:color="auto" w:fill="auto"/>
                  <w:vAlign w:val="center"/>
                </w:tcPr>
                <w:p w14:paraId="51149DE7">
                  <w:pPr>
                    <w:adjustRightInd w:val="0"/>
                    <w:snapToGrid w:val="0"/>
                    <w:jc w:val="center"/>
                    <w:rPr>
                      <w:i/>
                      <w:iCs/>
                      <w:color w:val="auto"/>
                      <w:sz w:val="13"/>
                      <w:szCs w:val="13"/>
                      <w:u w:val="single"/>
                    </w:rPr>
                  </w:pPr>
                  <w:r>
                    <w:rPr>
                      <w:rFonts w:hint="eastAsia"/>
                      <w:i/>
                      <w:iCs/>
                      <w:color w:val="auto"/>
                      <w:sz w:val="13"/>
                      <w:szCs w:val="13"/>
                      <w:u w:val="single"/>
                    </w:rPr>
                    <w:t>1m</w:t>
                  </w:r>
                </w:p>
              </w:tc>
            </w:tr>
            <w:tr w14:paraId="009FF4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333" w:type="pct"/>
                  <w:vMerge w:val="continue"/>
                </w:tcPr>
                <w:p w14:paraId="6937FF22">
                  <w:pPr>
                    <w:adjustRightInd w:val="0"/>
                    <w:snapToGrid w:val="0"/>
                    <w:jc w:val="center"/>
                    <w:rPr>
                      <w:i/>
                      <w:iCs/>
                      <w:color w:val="auto"/>
                      <w:sz w:val="15"/>
                      <w:szCs w:val="15"/>
                      <w:u w:val="single"/>
                    </w:rPr>
                  </w:pPr>
                </w:p>
              </w:tc>
              <w:tc>
                <w:tcPr>
                  <w:tcW w:w="399" w:type="pct"/>
                  <w:vMerge w:val="restart"/>
                  <w:shd w:val="clear" w:color="auto" w:fill="auto"/>
                  <w:vAlign w:val="center"/>
                </w:tcPr>
                <w:p w14:paraId="37115B50">
                  <w:pPr>
                    <w:pStyle w:val="38"/>
                    <w:adjustRightInd w:val="0"/>
                    <w:snapToGrid w:val="0"/>
                    <w:rPr>
                      <w:rFonts w:ascii="Times New Roman" w:hAnsi="Times New Roman" w:cs="Times New Roman"/>
                      <w:i/>
                      <w:iCs/>
                      <w:color w:val="auto"/>
                      <w:sz w:val="13"/>
                      <w:szCs w:val="13"/>
                      <w:u w:val="single"/>
                    </w:rPr>
                  </w:pPr>
                  <w:r>
                    <w:rPr>
                      <w:rFonts w:hint="eastAsia" w:ascii="Times New Roman" w:hAnsi="Times New Roman" w:cs="Times New Roman"/>
                      <w:i/>
                      <w:iCs/>
                      <w:color w:val="auto"/>
                      <w:sz w:val="13"/>
                      <w:szCs w:val="13"/>
                      <w:u w:val="single"/>
                    </w:rPr>
                    <w:t>滚笼筛</w:t>
                  </w:r>
                </w:p>
              </w:tc>
              <w:tc>
                <w:tcPr>
                  <w:tcW w:w="398" w:type="pct"/>
                  <w:vMerge w:val="restart"/>
                  <w:shd w:val="clear" w:color="auto" w:fill="auto"/>
                  <w:vAlign w:val="center"/>
                </w:tcPr>
                <w:p w14:paraId="2A56F14B">
                  <w:pPr>
                    <w:adjustRightInd w:val="0"/>
                    <w:snapToGrid w:val="0"/>
                    <w:jc w:val="center"/>
                    <w:rPr>
                      <w:i/>
                      <w:iCs/>
                      <w:color w:val="auto"/>
                      <w:sz w:val="13"/>
                      <w:szCs w:val="13"/>
                      <w:u w:val="single"/>
                    </w:rPr>
                  </w:pPr>
                  <w:r>
                    <w:rPr>
                      <w:rFonts w:hint="eastAsia"/>
                      <w:i/>
                      <w:iCs/>
                      <w:color w:val="auto"/>
                      <w:sz w:val="13"/>
                      <w:szCs w:val="13"/>
                      <w:u w:val="single"/>
                    </w:rPr>
                    <w:t>75</w:t>
                  </w:r>
                </w:p>
              </w:tc>
              <w:tc>
                <w:tcPr>
                  <w:tcW w:w="402" w:type="pct"/>
                  <w:vMerge w:val="restart"/>
                  <w:shd w:val="clear" w:color="auto" w:fill="auto"/>
                  <w:vAlign w:val="center"/>
                </w:tcPr>
                <w:p w14:paraId="37A96416">
                  <w:pPr>
                    <w:adjustRightInd w:val="0"/>
                    <w:snapToGrid w:val="0"/>
                    <w:jc w:val="center"/>
                    <w:rPr>
                      <w:i/>
                      <w:iCs/>
                      <w:color w:val="auto"/>
                      <w:sz w:val="13"/>
                      <w:szCs w:val="13"/>
                      <w:u w:val="single"/>
                    </w:rPr>
                  </w:pPr>
                  <w:r>
                    <w:rPr>
                      <w:rFonts w:hint="eastAsia"/>
                      <w:i/>
                      <w:iCs/>
                      <w:color w:val="auto"/>
                      <w:sz w:val="13"/>
                      <w:szCs w:val="13"/>
                      <w:u w:val="single"/>
                    </w:rPr>
                    <w:t>电机隔声罩、建筑隔声</w:t>
                  </w:r>
                </w:p>
              </w:tc>
              <w:tc>
                <w:tcPr>
                  <w:tcW w:w="251" w:type="pct"/>
                  <w:vMerge w:val="restart"/>
                  <w:shd w:val="clear" w:color="auto" w:fill="auto"/>
                  <w:vAlign w:val="center"/>
                </w:tcPr>
                <w:p w14:paraId="51FA84B3">
                  <w:pPr>
                    <w:adjustRightInd w:val="0"/>
                    <w:snapToGrid w:val="0"/>
                    <w:jc w:val="center"/>
                    <w:rPr>
                      <w:i/>
                      <w:iCs/>
                      <w:color w:val="auto"/>
                      <w:sz w:val="13"/>
                      <w:szCs w:val="13"/>
                      <w:u w:val="single"/>
                    </w:rPr>
                  </w:pPr>
                  <w:r>
                    <w:rPr>
                      <w:rFonts w:hint="eastAsia"/>
                      <w:i/>
                      <w:iCs/>
                      <w:color w:val="auto"/>
                      <w:sz w:val="13"/>
                      <w:szCs w:val="13"/>
                      <w:u w:val="single"/>
                    </w:rPr>
                    <w:t>15</w:t>
                  </w:r>
                </w:p>
              </w:tc>
              <w:tc>
                <w:tcPr>
                  <w:tcW w:w="244" w:type="pct"/>
                  <w:vMerge w:val="restart"/>
                  <w:shd w:val="clear" w:color="auto" w:fill="auto"/>
                  <w:vAlign w:val="center"/>
                </w:tcPr>
                <w:p w14:paraId="7AA37FDB">
                  <w:pPr>
                    <w:adjustRightInd w:val="0"/>
                    <w:snapToGrid w:val="0"/>
                    <w:jc w:val="center"/>
                    <w:rPr>
                      <w:i/>
                      <w:iCs/>
                      <w:color w:val="auto"/>
                      <w:sz w:val="13"/>
                      <w:szCs w:val="13"/>
                      <w:u w:val="single"/>
                    </w:rPr>
                  </w:pPr>
                  <w:r>
                    <w:rPr>
                      <w:rFonts w:hint="eastAsia"/>
                      <w:i/>
                      <w:iCs/>
                      <w:color w:val="auto"/>
                      <w:sz w:val="13"/>
                      <w:szCs w:val="13"/>
                      <w:u w:val="single"/>
                    </w:rPr>
                    <w:t>23</w:t>
                  </w:r>
                </w:p>
              </w:tc>
              <w:tc>
                <w:tcPr>
                  <w:tcW w:w="309" w:type="pct"/>
                  <w:vMerge w:val="restart"/>
                  <w:shd w:val="clear" w:color="auto" w:fill="auto"/>
                  <w:vAlign w:val="center"/>
                </w:tcPr>
                <w:p w14:paraId="38535BF2">
                  <w:pPr>
                    <w:adjustRightInd w:val="0"/>
                    <w:snapToGrid w:val="0"/>
                    <w:jc w:val="center"/>
                    <w:rPr>
                      <w:i/>
                      <w:iCs/>
                      <w:color w:val="auto"/>
                      <w:sz w:val="13"/>
                      <w:szCs w:val="13"/>
                      <w:u w:val="single"/>
                    </w:rPr>
                  </w:pPr>
                  <w:r>
                    <w:rPr>
                      <w:rFonts w:hint="eastAsia"/>
                      <w:i/>
                      <w:iCs/>
                      <w:color w:val="auto"/>
                      <w:sz w:val="13"/>
                      <w:szCs w:val="13"/>
                      <w:u w:val="single"/>
                    </w:rPr>
                    <w:t>2</w:t>
                  </w:r>
                </w:p>
              </w:tc>
              <w:tc>
                <w:tcPr>
                  <w:tcW w:w="564" w:type="pct"/>
                  <w:shd w:val="clear" w:color="auto" w:fill="auto"/>
                  <w:vAlign w:val="center"/>
                </w:tcPr>
                <w:p w14:paraId="246ADDC4">
                  <w:pPr>
                    <w:adjustRightInd w:val="0"/>
                    <w:snapToGrid w:val="0"/>
                    <w:jc w:val="center"/>
                    <w:rPr>
                      <w:i/>
                      <w:iCs/>
                      <w:color w:val="auto"/>
                      <w:sz w:val="13"/>
                      <w:szCs w:val="13"/>
                      <w:u w:val="single"/>
                    </w:rPr>
                  </w:pPr>
                  <w:r>
                    <w:rPr>
                      <w:rFonts w:hint="eastAsia"/>
                      <w:i/>
                      <w:iCs/>
                      <w:color w:val="auto"/>
                      <w:sz w:val="13"/>
                      <w:szCs w:val="13"/>
                      <w:u w:val="single"/>
                    </w:rPr>
                    <w:t>东，10m</w:t>
                  </w:r>
                </w:p>
              </w:tc>
              <w:tc>
                <w:tcPr>
                  <w:tcW w:w="489" w:type="pct"/>
                  <w:shd w:val="clear" w:color="auto" w:fill="auto"/>
                  <w:vAlign w:val="center"/>
                </w:tcPr>
                <w:p w14:paraId="48AB6C87">
                  <w:pPr>
                    <w:adjustRightInd w:val="0"/>
                    <w:snapToGrid w:val="0"/>
                    <w:jc w:val="center"/>
                    <w:rPr>
                      <w:i/>
                      <w:iCs/>
                      <w:color w:val="auto"/>
                      <w:sz w:val="13"/>
                      <w:szCs w:val="13"/>
                      <w:u w:val="single"/>
                    </w:rPr>
                  </w:pPr>
                  <w:r>
                    <w:rPr>
                      <w:rFonts w:hint="eastAsia"/>
                      <w:i/>
                      <w:iCs/>
                      <w:color w:val="auto"/>
                      <w:sz w:val="13"/>
                      <w:szCs w:val="13"/>
                      <w:u w:val="single"/>
                    </w:rPr>
                    <w:t>55</w:t>
                  </w:r>
                </w:p>
              </w:tc>
              <w:tc>
                <w:tcPr>
                  <w:tcW w:w="399" w:type="pct"/>
                  <w:vMerge w:val="restart"/>
                  <w:shd w:val="clear" w:color="auto" w:fill="auto"/>
                  <w:vAlign w:val="center"/>
                </w:tcPr>
                <w:p w14:paraId="2F579DF9">
                  <w:pPr>
                    <w:adjustRightInd w:val="0"/>
                    <w:snapToGrid w:val="0"/>
                    <w:jc w:val="center"/>
                    <w:rPr>
                      <w:i/>
                      <w:iCs/>
                      <w:color w:val="auto"/>
                      <w:sz w:val="13"/>
                      <w:szCs w:val="13"/>
                      <w:u w:val="single"/>
                    </w:rPr>
                  </w:pPr>
                  <w:r>
                    <w:rPr>
                      <w:rFonts w:hint="eastAsia"/>
                      <w:i/>
                      <w:iCs/>
                      <w:color w:val="auto"/>
                      <w:sz w:val="13"/>
                      <w:szCs w:val="13"/>
                      <w:u w:val="single"/>
                    </w:rPr>
                    <w:t>16h/d</w:t>
                  </w:r>
                </w:p>
              </w:tc>
              <w:tc>
                <w:tcPr>
                  <w:tcW w:w="476" w:type="pct"/>
                  <w:vMerge w:val="restart"/>
                  <w:shd w:val="clear" w:color="auto" w:fill="auto"/>
                  <w:vAlign w:val="center"/>
                </w:tcPr>
                <w:p w14:paraId="781D49B2">
                  <w:pPr>
                    <w:adjustRightInd w:val="0"/>
                    <w:snapToGrid w:val="0"/>
                    <w:jc w:val="center"/>
                    <w:rPr>
                      <w:i/>
                      <w:iCs/>
                      <w:color w:val="auto"/>
                      <w:sz w:val="13"/>
                      <w:szCs w:val="13"/>
                      <w:u w:val="single"/>
                    </w:rPr>
                  </w:pPr>
                  <w:r>
                    <w:rPr>
                      <w:rFonts w:hint="eastAsia"/>
                      <w:i/>
                      <w:iCs/>
                      <w:color w:val="auto"/>
                      <w:sz w:val="13"/>
                      <w:szCs w:val="13"/>
                      <w:u w:val="single"/>
                    </w:rPr>
                    <w:t>20</w:t>
                  </w:r>
                </w:p>
              </w:tc>
              <w:tc>
                <w:tcPr>
                  <w:tcW w:w="398" w:type="pct"/>
                  <w:shd w:val="clear" w:color="auto" w:fill="auto"/>
                  <w:vAlign w:val="center"/>
                </w:tcPr>
                <w:p w14:paraId="322D002F">
                  <w:pPr>
                    <w:adjustRightInd w:val="0"/>
                    <w:snapToGrid w:val="0"/>
                    <w:jc w:val="center"/>
                    <w:rPr>
                      <w:i/>
                      <w:iCs/>
                      <w:color w:val="auto"/>
                      <w:sz w:val="13"/>
                      <w:szCs w:val="13"/>
                      <w:u w:val="single"/>
                    </w:rPr>
                  </w:pPr>
                  <w:r>
                    <w:rPr>
                      <w:rFonts w:hint="eastAsia"/>
                      <w:i/>
                      <w:iCs/>
                      <w:color w:val="auto"/>
                      <w:sz w:val="13"/>
                      <w:szCs w:val="13"/>
                      <w:u w:val="single"/>
                    </w:rPr>
                    <w:t>35</w:t>
                  </w:r>
                </w:p>
              </w:tc>
              <w:tc>
                <w:tcPr>
                  <w:tcW w:w="332" w:type="pct"/>
                  <w:shd w:val="clear" w:color="auto" w:fill="auto"/>
                  <w:vAlign w:val="center"/>
                </w:tcPr>
                <w:p w14:paraId="6F9044FF">
                  <w:pPr>
                    <w:adjustRightInd w:val="0"/>
                    <w:snapToGrid w:val="0"/>
                    <w:jc w:val="center"/>
                    <w:rPr>
                      <w:i/>
                      <w:iCs/>
                      <w:color w:val="auto"/>
                      <w:sz w:val="13"/>
                      <w:szCs w:val="13"/>
                      <w:u w:val="single"/>
                    </w:rPr>
                  </w:pPr>
                  <w:r>
                    <w:rPr>
                      <w:rFonts w:hint="eastAsia"/>
                      <w:i/>
                      <w:iCs/>
                      <w:color w:val="auto"/>
                      <w:sz w:val="13"/>
                      <w:szCs w:val="13"/>
                      <w:u w:val="single"/>
                    </w:rPr>
                    <w:t>1m</w:t>
                  </w:r>
                </w:p>
              </w:tc>
            </w:tr>
            <w:tr w14:paraId="67E265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333" w:type="pct"/>
                  <w:vMerge w:val="continue"/>
                </w:tcPr>
                <w:p w14:paraId="1E52EC85">
                  <w:pPr>
                    <w:adjustRightInd w:val="0"/>
                    <w:snapToGrid w:val="0"/>
                    <w:jc w:val="center"/>
                    <w:rPr>
                      <w:i/>
                      <w:iCs/>
                      <w:color w:val="auto"/>
                      <w:sz w:val="15"/>
                      <w:szCs w:val="15"/>
                      <w:u w:val="single"/>
                    </w:rPr>
                  </w:pPr>
                </w:p>
              </w:tc>
              <w:tc>
                <w:tcPr>
                  <w:tcW w:w="399" w:type="pct"/>
                  <w:vMerge w:val="continue"/>
                </w:tcPr>
                <w:p w14:paraId="59F22446">
                  <w:pPr>
                    <w:adjustRightInd w:val="0"/>
                    <w:snapToGrid w:val="0"/>
                    <w:jc w:val="center"/>
                    <w:rPr>
                      <w:i/>
                      <w:iCs/>
                      <w:color w:val="auto"/>
                      <w:sz w:val="15"/>
                      <w:szCs w:val="15"/>
                      <w:u w:val="single"/>
                    </w:rPr>
                  </w:pPr>
                </w:p>
              </w:tc>
              <w:tc>
                <w:tcPr>
                  <w:tcW w:w="398" w:type="pct"/>
                  <w:vMerge w:val="continue"/>
                </w:tcPr>
                <w:p w14:paraId="7DC9ADD6">
                  <w:pPr>
                    <w:adjustRightInd w:val="0"/>
                    <w:snapToGrid w:val="0"/>
                    <w:jc w:val="center"/>
                    <w:rPr>
                      <w:i/>
                      <w:iCs/>
                      <w:color w:val="auto"/>
                      <w:sz w:val="15"/>
                      <w:szCs w:val="15"/>
                      <w:u w:val="single"/>
                    </w:rPr>
                  </w:pPr>
                </w:p>
              </w:tc>
              <w:tc>
                <w:tcPr>
                  <w:tcW w:w="402" w:type="pct"/>
                  <w:vMerge w:val="continue"/>
                </w:tcPr>
                <w:p w14:paraId="6EA07B4E">
                  <w:pPr>
                    <w:adjustRightInd w:val="0"/>
                    <w:snapToGrid w:val="0"/>
                    <w:jc w:val="center"/>
                    <w:rPr>
                      <w:i/>
                      <w:iCs/>
                      <w:color w:val="auto"/>
                      <w:sz w:val="15"/>
                      <w:szCs w:val="15"/>
                      <w:u w:val="single"/>
                    </w:rPr>
                  </w:pPr>
                </w:p>
              </w:tc>
              <w:tc>
                <w:tcPr>
                  <w:tcW w:w="251" w:type="pct"/>
                  <w:vMerge w:val="continue"/>
                </w:tcPr>
                <w:p w14:paraId="4044F96B">
                  <w:pPr>
                    <w:adjustRightInd w:val="0"/>
                    <w:snapToGrid w:val="0"/>
                    <w:jc w:val="center"/>
                    <w:rPr>
                      <w:i/>
                      <w:iCs/>
                      <w:color w:val="auto"/>
                      <w:sz w:val="15"/>
                      <w:szCs w:val="15"/>
                      <w:u w:val="single"/>
                    </w:rPr>
                  </w:pPr>
                </w:p>
              </w:tc>
              <w:tc>
                <w:tcPr>
                  <w:tcW w:w="244" w:type="pct"/>
                  <w:vMerge w:val="continue"/>
                </w:tcPr>
                <w:p w14:paraId="3D0716C0">
                  <w:pPr>
                    <w:adjustRightInd w:val="0"/>
                    <w:snapToGrid w:val="0"/>
                    <w:jc w:val="center"/>
                    <w:rPr>
                      <w:i/>
                      <w:iCs/>
                      <w:color w:val="auto"/>
                      <w:sz w:val="15"/>
                      <w:szCs w:val="15"/>
                      <w:u w:val="single"/>
                    </w:rPr>
                  </w:pPr>
                </w:p>
              </w:tc>
              <w:tc>
                <w:tcPr>
                  <w:tcW w:w="309" w:type="pct"/>
                  <w:vMerge w:val="continue"/>
                </w:tcPr>
                <w:p w14:paraId="6CE3173A">
                  <w:pPr>
                    <w:adjustRightInd w:val="0"/>
                    <w:snapToGrid w:val="0"/>
                    <w:jc w:val="center"/>
                    <w:rPr>
                      <w:i/>
                      <w:iCs/>
                      <w:color w:val="auto"/>
                      <w:sz w:val="15"/>
                      <w:szCs w:val="15"/>
                      <w:u w:val="single"/>
                    </w:rPr>
                  </w:pPr>
                </w:p>
              </w:tc>
              <w:tc>
                <w:tcPr>
                  <w:tcW w:w="564" w:type="pct"/>
                  <w:shd w:val="clear" w:color="auto" w:fill="auto"/>
                  <w:vAlign w:val="center"/>
                </w:tcPr>
                <w:p w14:paraId="109DEB81">
                  <w:pPr>
                    <w:adjustRightInd w:val="0"/>
                    <w:snapToGrid w:val="0"/>
                    <w:jc w:val="center"/>
                    <w:rPr>
                      <w:i/>
                      <w:iCs/>
                      <w:color w:val="auto"/>
                      <w:sz w:val="13"/>
                      <w:szCs w:val="13"/>
                      <w:u w:val="single"/>
                    </w:rPr>
                  </w:pPr>
                  <w:r>
                    <w:rPr>
                      <w:rFonts w:hint="eastAsia"/>
                      <w:i/>
                      <w:iCs/>
                      <w:color w:val="auto"/>
                      <w:sz w:val="13"/>
                      <w:szCs w:val="13"/>
                      <w:u w:val="single"/>
                    </w:rPr>
                    <w:t>南，23m</w:t>
                  </w:r>
                </w:p>
              </w:tc>
              <w:tc>
                <w:tcPr>
                  <w:tcW w:w="489" w:type="pct"/>
                  <w:shd w:val="clear" w:color="auto" w:fill="auto"/>
                  <w:vAlign w:val="center"/>
                </w:tcPr>
                <w:p w14:paraId="0DCBF808">
                  <w:pPr>
                    <w:adjustRightInd w:val="0"/>
                    <w:snapToGrid w:val="0"/>
                    <w:jc w:val="center"/>
                    <w:rPr>
                      <w:i/>
                      <w:iCs/>
                      <w:color w:val="auto"/>
                      <w:sz w:val="13"/>
                      <w:szCs w:val="13"/>
                      <w:u w:val="single"/>
                    </w:rPr>
                  </w:pPr>
                  <w:r>
                    <w:rPr>
                      <w:rFonts w:hint="eastAsia"/>
                      <w:i/>
                      <w:iCs/>
                      <w:color w:val="auto"/>
                      <w:sz w:val="13"/>
                      <w:szCs w:val="13"/>
                      <w:u w:val="single"/>
                    </w:rPr>
                    <w:t>48</w:t>
                  </w:r>
                </w:p>
              </w:tc>
              <w:tc>
                <w:tcPr>
                  <w:tcW w:w="399" w:type="pct"/>
                  <w:vMerge w:val="continue"/>
                </w:tcPr>
                <w:p w14:paraId="1A4ED8E3">
                  <w:pPr>
                    <w:adjustRightInd w:val="0"/>
                    <w:snapToGrid w:val="0"/>
                    <w:jc w:val="center"/>
                    <w:rPr>
                      <w:i/>
                      <w:iCs/>
                      <w:color w:val="auto"/>
                      <w:sz w:val="15"/>
                      <w:szCs w:val="15"/>
                      <w:u w:val="single"/>
                    </w:rPr>
                  </w:pPr>
                </w:p>
              </w:tc>
              <w:tc>
                <w:tcPr>
                  <w:tcW w:w="476" w:type="pct"/>
                  <w:vMerge w:val="continue"/>
                </w:tcPr>
                <w:p w14:paraId="0C91D667">
                  <w:pPr>
                    <w:adjustRightInd w:val="0"/>
                    <w:snapToGrid w:val="0"/>
                    <w:jc w:val="center"/>
                    <w:rPr>
                      <w:i/>
                      <w:iCs/>
                      <w:color w:val="auto"/>
                      <w:sz w:val="15"/>
                      <w:szCs w:val="15"/>
                      <w:u w:val="single"/>
                    </w:rPr>
                  </w:pPr>
                </w:p>
              </w:tc>
              <w:tc>
                <w:tcPr>
                  <w:tcW w:w="398" w:type="pct"/>
                  <w:shd w:val="clear" w:color="auto" w:fill="auto"/>
                  <w:vAlign w:val="center"/>
                </w:tcPr>
                <w:p w14:paraId="059A192D">
                  <w:pPr>
                    <w:adjustRightInd w:val="0"/>
                    <w:snapToGrid w:val="0"/>
                    <w:jc w:val="center"/>
                    <w:rPr>
                      <w:i/>
                      <w:iCs/>
                      <w:color w:val="auto"/>
                      <w:sz w:val="13"/>
                      <w:szCs w:val="13"/>
                      <w:u w:val="single"/>
                    </w:rPr>
                  </w:pPr>
                  <w:r>
                    <w:rPr>
                      <w:rFonts w:hint="eastAsia"/>
                      <w:i/>
                      <w:iCs/>
                      <w:color w:val="auto"/>
                      <w:sz w:val="13"/>
                      <w:szCs w:val="13"/>
                      <w:u w:val="single"/>
                    </w:rPr>
                    <w:t>28</w:t>
                  </w:r>
                </w:p>
              </w:tc>
              <w:tc>
                <w:tcPr>
                  <w:tcW w:w="332" w:type="pct"/>
                  <w:shd w:val="clear" w:color="auto" w:fill="auto"/>
                  <w:vAlign w:val="center"/>
                </w:tcPr>
                <w:p w14:paraId="659766CE">
                  <w:pPr>
                    <w:adjustRightInd w:val="0"/>
                    <w:snapToGrid w:val="0"/>
                    <w:jc w:val="center"/>
                    <w:rPr>
                      <w:i/>
                      <w:iCs/>
                      <w:color w:val="auto"/>
                      <w:sz w:val="13"/>
                      <w:szCs w:val="13"/>
                      <w:u w:val="single"/>
                    </w:rPr>
                  </w:pPr>
                  <w:r>
                    <w:rPr>
                      <w:rFonts w:hint="eastAsia"/>
                      <w:i/>
                      <w:iCs/>
                      <w:color w:val="auto"/>
                      <w:sz w:val="13"/>
                      <w:szCs w:val="13"/>
                      <w:u w:val="single"/>
                    </w:rPr>
                    <w:t>1m</w:t>
                  </w:r>
                </w:p>
              </w:tc>
            </w:tr>
            <w:tr w14:paraId="19AA7B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333" w:type="pct"/>
                  <w:vMerge w:val="continue"/>
                </w:tcPr>
                <w:p w14:paraId="70D2C32E">
                  <w:pPr>
                    <w:adjustRightInd w:val="0"/>
                    <w:snapToGrid w:val="0"/>
                    <w:jc w:val="center"/>
                    <w:rPr>
                      <w:i/>
                      <w:iCs/>
                      <w:color w:val="auto"/>
                      <w:sz w:val="15"/>
                      <w:szCs w:val="15"/>
                      <w:u w:val="single"/>
                    </w:rPr>
                  </w:pPr>
                </w:p>
              </w:tc>
              <w:tc>
                <w:tcPr>
                  <w:tcW w:w="399" w:type="pct"/>
                  <w:vMerge w:val="continue"/>
                </w:tcPr>
                <w:p w14:paraId="090094F1">
                  <w:pPr>
                    <w:adjustRightInd w:val="0"/>
                    <w:snapToGrid w:val="0"/>
                    <w:jc w:val="center"/>
                    <w:rPr>
                      <w:i/>
                      <w:iCs/>
                      <w:color w:val="auto"/>
                      <w:sz w:val="15"/>
                      <w:szCs w:val="15"/>
                      <w:u w:val="single"/>
                    </w:rPr>
                  </w:pPr>
                </w:p>
              </w:tc>
              <w:tc>
                <w:tcPr>
                  <w:tcW w:w="398" w:type="pct"/>
                  <w:vMerge w:val="continue"/>
                </w:tcPr>
                <w:p w14:paraId="5D3B719B">
                  <w:pPr>
                    <w:adjustRightInd w:val="0"/>
                    <w:snapToGrid w:val="0"/>
                    <w:jc w:val="center"/>
                    <w:rPr>
                      <w:i/>
                      <w:iCs/>
                      <w:color w:val="auto"/>
                      <w:sz w:val="15"/>
                      <w:szCs w:val="15"/>
                      <w:u w:val="single"/>
                    </w:rPr>
                  </w:pPr>
                </w:p>
              </w:tc>
              <w:tc>
                <w:tcPr>
                  <w:tcW w:w="402" w:type="pct"/>
                  <w:vMerge w:val="continue"/>
                </w:tcPr>
                <w:p w14:paraId="15A977D5">
                  <w:pPr>
                    <w:adjustRightInd w:val="0"/>
                    <w:snapToGrid w:val="0"/>
                    <w:jc w:val="center"/>
                    <w:rPr>
                      <w:i/>
                      <w:iCs/>
                      <w:color w:val="auto"/>
                      <w:sz w:val="15"/>
                      <w:szCs w:val="15"/>
                      <w:u w:val="single"/>
                    </w:rPr>
                  </w:pPr>
                </w:p>
              </w:tc>
              <w:tc>
                <w:tcPr>
                  <w:tcW w:w="251" w:type="pct"/>
                  <w:vMerge w:val="continue"/>
                </w:tcPr>
                <w:p w14:paraId="27748D44">
                  <w:pPr>
                    <w:adjustRightInd w:val="0"/>
                    <w:snapToGrid w:val="0"/>
                    <w:jc w:val="center"/>
                    <w:rPr>
                      <w:i/>
                      <w:iCs/>
                      <w:color w:val="auto"/>
                      <w:sz w:val="15"/>
                      <w:szCs w:val="15"/>
                      <w:u w:val="single"/>
                    </w:rPr>
                  </w:pPr>
                </w:p>
              </w:tc>
              <w:tc>
                <w:tcPr>
                  <w:tcW w:w="244" w:type="pct"/>
                  <w:vMerge w:val="continue"/>
                </w:tcPr>
                <w:p w14:paraId="5E2BD06A">
                  <w:pPr>
                    <w:adjustRightInd w:val="0"/>
                    <w:snapToGrid w:val="0"/>
                    <w:jc w:val="center"/>
                    <w:rPr>
                      <w:i/>
                      <w:iCs/>
                      <w:color w:val="auto"/>
                      <w:sz w:val="15"/>
                      <w:szCs w:val="15"/>
                      <w:u w:val="single"/>
                    </w:rPr>
                  </w:pPr>
                </w:p>
              </w:tc>
              <w:tc>
                <w:tcPr>
                  <w:tcW w:w="309" w:type="pct"/>
                  <w:vMerge w:val="continue"/>
                </w:tcPr>
                <w:p w14:paraId="025CA00D">
                  <w:pPr>
                    <w:adjustRightInd w:val="0"/>
                    <w:snapToGrid w:val="0"/>
                    <w:jc w:val="center"/>
                    <w:rPr>
                      <w:i/>
                      <w:iCs/>
                      <w:color w:val="auto"/>
                      <w:sz w:val="15"/>
                      <w:szCs w:val="15"/>
                      <w:u w:val="single"/>
                    </w:rPr>
                  </w:pPr>
                </w:p>
              </w:tc>
              <w:tc>
                <w:tcPr>
                  <w:tcW w:w="564" w:type="pct"/>
                  <w:shd w:val="clear" w:color="auto" w:fill="auto"/>
                  <w:vAlign w:val="center"/>
                </w:tcPr>
                <w:p w14:paraId="11FFBED2">
                  <w:pPr>
                    <w:adjustRightInd w:val="0"/>
                    <w:snapToGrid w:val="0"/>
                    <w:jc w:val="center"/>
                    <w:rPr>
                      <w:i/>
                      <w:iCs/>
                      <w:color w:val="auto"/>
                      <w:sz w:val="13"/>
                      <w:szCs w:val="13"/>
                      <w:u w:val="single"/>
                    </w:rPr>
                  </w:pPr>
                  <w:r>
                    <w:rPr>
                      <w:rFonts w:hint="eastAsia"/>
                      <w:i/>
                      <w:iCs/>
                      <w:color w:val="auto"/>
                      <w:sz w:val="13"/>
                      <w:szCs w:val="13"/>
                      <w:u w:val="single"/>
                    </w:rPr>
                    <w:t>西，15m</w:t>
                  </w:r>
                </w:p>
              </w:tc>
              <w:tc>
                <w:tcPr>
                  <w:tcW w:w="489" w:type="pct"/>
                  <w:shd w:val="clear" w:color="auto" w:fill="auto"/>
                  <w:vAlign w:val="center"/>
                </w:tcPr>
                <w:p w14:paraId="05A43A6C">
                  <w:pPr>
                    <w:adjustRightInd w:val="0"/>
                    <w:snapToGrid w:val="0"/>
                    <w:jc w:val="center"/>
                    <w:rPr>
                      <w:i/>
                      <w:iCs/>
                      <w:color w:val="auto"/>
                      <w:sz w:val="13"/>
                      <w:szCs w:val="13"/>
                      <w:u w:val="single"/>
                    </w:rPr>
                  </w:pPr>
                  <w:r>
                    <w:rPr>
                      <w:rFonts w:hint="eastAsia"/>
                      <w:i/>
                      <w:iCs/>
                      <w:color w:val="auto"/>
                      <w:sz w:val="13"/>
                      <w:szCs w:val="13"/>
                      <w:u w:val="single"/>
                    </w:rPr>
                    <w:t>51</w:t>
                  </w:r>
                </w:p>
              </w:tc>
              <w:tc>
                <w:tcPr>
                  <w:tcW w:w="399" w:type="pct"/>
                  <w:vMerge w:val="continue"/>
                </w:tcPr>
                <w:p w14:paraId="585F99A8">
                  <w:pPr>
                    <w:adjustRightInd w:val="0"/>
                    <w:snapToGrid w:val="0"/>
                    <w:jc w:val="center"/>
                    <w:rPr>
                      <w:i/>
                      <w:iCs/>
                      <w:color w:val="auto"/>
                      <w:sz w:val="15"/>
                      <w:szCs w:val="15"/>
                      <w:u w:val="single"/>
                    </w:rPr>
                  </w:pPr>
                </w:p>
              </w:tc>
              <w:tc>
                <w:tcPr>
                  <w:tcW w:w="476" w:type="pct"/>
                  <w:vMerge w:val="continue"/>
                </w:tcPr>
                <w:p w14:paraId="07389848">
                  <w:pPr>
                    <w:adjustRightInd w:val="0"/>
                    <w:snapToGrid w:val="0"/>
                    <w:jc w:val="center"/>
                    <w:rPr>
                      <w:i/>
                      <w:iCs/>
                      <w:color w:val="auto"/>
                      <w:sz w:val="15"/>
                      <w:szCs w:val="15"/>
                      <w:u w:val="single"/>
                    </w:rPr>
                  </w:pPr>
                </w:p>
              </w:tc>
              <w:tc>
                <w:tcPr>
                  <w:tcW w:w="398" w:type="pct"/>
                  <w:shd w:val="clear" w:color="auto" w:fill="auto"/>
                  <w:vAlign w:val="center"/>
                </w:tcPr>
                <w:p w14:paraId="001832A3">
                  <w:pPr>
                    <w:adjustRightInd w:val="0"/>
                    <w:snapToGrid w:val="0"/>
                    <w:jc w:val="center"/>
                    <w:rPr>
                      <w:i/>
                      <w:iCs/>
                      <w:color w:val="auto"/>
                      <w:sz w:val="13"/>
                      <w:szCs w:val="13"/>
                      <w:u w:val="single"/>
                    </w:rPr>
                  </w:pPr>
                  <w:r>
                    <w:rPr>
                      <w:rFonts w:hint="eastAsia"/>
                      <w:i/>
                      <w:iCs/>
                      <w:color w:val="auto"/>
                      <w:sz w:val="13"/>
                      <w:szCs w:val="13"/>
                      <w:u w:val="single"/>
                    </w:rPr>
                    <w:t>31</w:t>
                  </w:r>
                </w:p>
              </w:tc>
              <w:tc>
                <w:tcPr>
                  <w:tcW w:w="332" w:type="pct"/>
                  <w:shd w:val="clear" w:color="auto" w:fill="auto"/>
                  <w:vAlign w:val="center"/>
                </w:tcPr>
                <w:p w14:paraId="466D1BD7">
                  <w:pPr>
                    <w:adjustRightInd w:val="0"/>
                    <w:snapToGrid w:val="0"/>
                    <w:jc w:val="center"/>
                    <w:rPr>
                      <w:i/>
                      <w:iCs/>
                      <w:color w:val="auto"/>
                      <w:sz w:val="13"/>
                      <w:szCs w:val="13"/>
                      <w:u w:val="single"/>
                    </w:rPr>
                  </w:pPr>
                  <w:r>
                    <w:rPr>
                      <w:rFonts w:hint="eastAsia"/>
                      <w:i/>
                      <w:iCs/>
                      <w:color w:val="auto"/>
                      <w:sz w:val="13"/>
                      <w:szCs w:val="13"/>
                      <w:u w:val="single"/>
                    </w:rPr>
                    <w:t>1m</w:t>
                  </w:r>
                </w:p>
              </w:tc>
            </w:tr>
            <w:tr w14:paraId="757B88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333" w:type="pct"/>
                  <w:vMerge w:val="continue"/>
                </w:tcPr>
                <w:p w14:paraId="3D66489D">
                  <w:pPr>
                    <w:adjustRightInd w:val="0"/>
                    <w:snapToGrid w:val="0"/>
                    <w:jc w:val="center"/>
                    <w:rPr>
                      <w:i/>
                      <w:iCs/>
                      <w:color w:val="auto"/>
                      <w:sz w:val="15"/>
                      <w:szCs w:val="15"/>
                      <w:u w:val="single"/>
                    </w:rPr>
                  </w:pPr>
                </w:p>
              </w:tc>
              <w:tc>
                <w:tcPr>
                  <w:tcW w:w="399" w:type="pct"/>
                  <w:vMerge w:val="continue"/>
                </w:tcPr>
                <w:p w14:paraId="67ED8078">
                  <w:pPr>
                    <w:adjustRightInd w:val="0"/>
                    <w:snapToGrid w:val="0"/>
                    <w:jc w:val="center"/>
                    <w:rPr>
                      <w:i/>
                      <w:iCs/>
                      <w:color w:val="auto"/>
                      <w:sz w:val="15"/>
                      <w:szCs w:val="15"/>
                      <w:u w:val="single"/>
                    </w:rPr>
                  </w:pPr>
                </w:p>
              </w:tc>
              <w:tc>
                <w:tcPr>
                  <w:tcW w:w="398" w:type="pct"/>
                  <w:vMerge w:val="continue"/>
                </w:tcPr>
                <w:p w14:paraId="727162DC">
                  <w:pPr>
                    <w:adjustRightInd w:val="0"/>
                    <w:snapToGrid w:val="0"/>
                    <w:jc w:val="center"/>
                    <w:rPr>
                      <w:i/>
                      <w:iCs/>
                      <w:color w:val="auto"/>
                      <w:sz w:val="15"/>
                      <w:szCs w:val="15"/>
                      <w:u w:val="single"/>
                    </w:rPr>
                  </w:pPr>
                </w:p>
              </w:tc>
              <w:tc>
                <w:tcPr>
                  <w:tcW w:w="402" w:type="pct"/>
                  <w:vMerge w:val="continue"/>
                </w:tcPr>
                <w:p w14:paraId="2AC63485">
                  <w:pPr>
                    <w:adjustRightInd w:val="0"/>
                    <w:snapToGrid w:val="0"/>
                    <w:jc w:val="center"/>
                    <w:rPr>
                      <w:i/>
                      <w:iCs/>
                      <w:color w:val="auto"/>
                      <w:sz w:val="15"/>
                      <w:szCs w:val="15"/>
                      <w:u w:val="single"/>
                    </w:rPr>
                  </w:pPr>
                </w:p>
              </w:tc>
              <w:tc>
                <w:tcPr>
                  <w:tcW w:w="251" w:type="pct"/>
                  <w:vMerge w:val="continue"/>
                </w:tcPr>
                <w:p w14:paraId="1737BD22">
                  <w:pPr>
                    <w:adjustRightInd w:val="0"/>
                    <w:snapToGrid w:val="0"/>
                    <w:jc w:val="center"/>
                    <w:rPr>
                      <w:i/>
                      <w:iCs/>
                      <w:color w:val="auto"/>
                      <w:sz w:val="15"/>
                      <w:szCs w:val="15"/>
                      <w:u w:val="single"/>
                    </w:rPr>
                  </w:pPr>
                </w:p>
              </w:tc>
              <w:tc>
                <w:tcPr>
                  <w:tcW w:w="244" w:type="pct"/>
                  <w:vMerge w:val="continue"/>
                </w:tcPr>
                <w:p w14:paraId="7F02862A">
                  <w:pPr>
                    <w:adjustRightInd w:val="0"/>
                    <w:snapToGrid w:val="0"/>
                    <w:jc w:val="center"/>
                    <w:rPr>
                      <w:i/>
                      <w:iCs/>
                      <w:color w:val="auto"/>
                      <w:sz w:val="15"/>
                      <w:szCs w:val="15"/>
                      <w:u w:val="single"/>
                    </w:rPr>
                  </w:pPr>
                </w:p>
              </w:tc>
              <w:tc>
                <w:tcPr>
                  <w:tcW w:w="309" w:type="pct"/>
                  <w:vMerge w:val="continue"/>
                </w:tcPr>
                <w:p w14:paraId="31E89F87">
                  <w:pPr>
                    <w:adjustRightInd w:val="0"/>
                    <w:snapToGrid w:val="0"/>
                    <w:jc w:val="center"/>
                    <w:rPr>
                      <w:i/>
                      <w:iCs/>
                      <w:color w:val="auto"/>
                      <w:sz w:val="15"/>
                      <w:szCs w:val="15"/>
                      <w:u w:val="single"/>
                    </w:rPr>
                  </w:pPr>
                </w:p>
              </w:tc>
              <w:tc>
                <w:tcPr>
                  <w:tcW w:w="564" w:type="pct"/>
                  <w:shd w:val="clear" w:color="auto" w:fill="auto"/>
                  <w:vAlign w:val="center"/>
                </w:tcPr>
                <w:p w14:paraId="0AB36D93">
                  <w:pPr>
                    <w:adjustRightInd w:val="0"/>
                    <w:snapToGrid w:val="0"/>
                    <w:jc w:val="center"/>
                    <w:rPr>
                      <w:i/>
                      <w:iCs/>
                      <w:color w:val="auto"/>
                      <w:sz w:val="13"/>
                      <w:szCs w:val="13"/>
                      <w:u w:val="single"/>
                    </w:rPr>
                  </w:pPr>
                  <w:r>
                    <w:rPr>
                      <w:rFonts w:hint="eastAsia"/>
                      <w:i/>
                      <w:iCs/>
                      <w:color w:val="auto"/>
                      <w:sz w:val="13"/>
                      <w:szCs w:val="13"/>
                      <w:u w:val="single"/>
                    </w:rPr>
                    <w:t>北，7m</w:t>
                  </w:r>
                </w:p>
              </w:tc>
              <w:tc>
                <w:tcPr>
                  <w:tcW w:w="489" w:type="pct"/>
                  <w:shd w:val="clear" w:color="auto" w:fill="auto"/>
                  <w:vAlign w:val="center"/>
                </w:tcPr>
                <w:p w14:paraId="19053B8F">
                  <w:pPr>
                    <w:adjustRightInd w:val="0"/>
                    <w:snapToGrid w:val="0"/>
                    <w:jc w:val="center"/>
                    <w:rPr>
                      <w:i/>
                      <w:iCs/>
                      <w:color w:val="auto"/>
                      <w:sz w:val="13"/>
                      <w:szCs w:val="13"/>
                      <w:u w:val="single"/>
                    </w:rPr>
                  </w:pPr>
                  <w:r>
                    <w:rPr>
                      <w:rFonts w:hint="eastAsia"/>
                      <w:i/>
                      <w:iCs/>
                      <w:color w:val="auto"/>
                      <w:sz w:val="13"/>
                      <w:szCs w:val="13"/>
                      <w:u w:val="single"/>
                    </w:rPr>
                    <w:t>58</w:t>
                  </w:r>
                </w:p>
              </w:tc>
              <w:tc>
                <w:tcPr>
                  <w:tcW w:w="399" w:type="pct"/>
                  <w:vMerge w:val="continue"/>
                </w:tcPr>
                <w:p w14:paraId="76BE343C">
                  <w:pPr>
                    <w:adjustRightInd w:val="0"/>
                    <w:snapToGrid w:val="0"/>
                    <w:jc w:val="center"/>
                    <w:rPr>
                      <w:i/>
                      <w:iCs/>
                      <w:color w:val="auto"/>
                      <w:sz w:val="15"/>
                      <w:szCs w:val="15"/>
                      <w:u w:val="single"/>
                    </w:rPr>
                  </w:pPr>
                </w:p>
              </w:tc>
              <w:tc>
                <w:tcPr>
                  <w:tcW w:w="476" w:type="pct"/>
                  <w:vMerge w:val="continue"/>
                </w:tcPr>
                <w:p w14:paraId="5B2B18E9">
                  <w:pPr>
                    <w:adjustRightInd w:val="0"/>
                    <w:snapToGrid w:val="0"/>
                    <w:jc w:val="center"/>
                    <w:rPr>
                      <w:i/>
                      <w:iCs/>
                      <w:color w:val="auto"/>
                      <w:sz w:val="15"/>
                      <w:szCs w:val="15"/>
                      <w:u w:val="single"/>
                    </w:rPr>
                  </w:pPr>
                </w:p>
              </w:tc>
              <w:tc>
                <w:tcPr>
                  <w:tcW w:w="398" w:type="pct"/>
                  <w:shd w:val="clear" w:color="auto" w:fill="auto"/>
                  <w:vAlign w:val="center"/>
                </w:tcPr>
                <w:p w14:paraId="4D080929">
                  <w:pPr>
                    <w:adjustRightInd w:val="0"/>
                    <w:snapToGrid w:val="0"/>
                    <w:jc w:val="center"/>
                    <w:rPr>
                      <w:i/>
                      <w:iCs/>
                      <w:color w:val="auto"/>
                      <w:sz w:val="13"/>
                      <w:szCs w:val="13"/>
                      <w:u w:val="single"/>
                    </w:rPr>
                  </w:pPr>
                  <w:r>
                    <w:rPr>
                      <w:rFonts w:hint="eastAsia"/>
                      <w:i/>
                      <w:iCs/>
                      <w:color w:val="auto"/>
                      <w:sz w:val="13"/>
                      <w:szCs w:val="13"/>
                      <w:u w:val="single"/>
                    </w:rPr>
                    <w:t>38</w:t>
                  </w:r>
                </w:p>
              </w:tc>
              <w:tc>
                <w:tcPr>
                  <w:tcW w:w="332" w:type="pct"/>
                  <w:shd w:val="clear" w:color="auto" w:fill="auto"/>
                  <w:vAlign w:val="center"/>
                </w:tcPr>
                <w:p w14:paraId="372A646E">
                  <w:pPr>
                    <w:adjustRightInd w:val="0"/>
                    <w:snapToGrid w:val="0"/>
                    <w:jc w:val="center"/>
                    <w:rPr>
                      <w:i/>
                      <w:iCs/>
                      <w:color w:val="auto"/>
                      <w:sz w:val="13"/>
                      <w:szCs w:val="13"/>
                      <w:u w:val="single"/>
                    </w:rPr>
                  </w:pPr>
                  <w:r>
                    <w:rPr>
                      <w:rFonts w:hint="eastAsia"/>
                      <w:i/>
                      <w:iCs/>
                      <w:color w:val="auto"/>
                      <w:sz w:val="13"/>
                      <w:szCs w:val="13"/>
                      <w:u w:val="single"/>
                    </w:rPr>
                    <w:t>1m</w:t>
                  </w:r>
                </w:p>
              </w:tc>
            </w:tr>
            <w:tr w14:paraId="2A45DA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333" w:type="pct"/>
                  <w:vMerge w:val="continue"/>
                </w:tcPr>
                <w:p w14:paraId="28FFE7AA">
                  <w:pPr>
                    <w:adjustRightInd w:val="0"/>
                    <w:snapToGrid w:val="0"/>
                    <w:jc w:val="center"/>
                    <w:rPr>
                      <w:i/>
                      <w:iCs/>
                      <w:color w:val="auto"/>
                      <w:sz w:val="15"/>
                      <w:szCs w:val="15"/>
                      <w:u w:val="single"/>
                    </w:rPr>
                  </w:pPr>
                </w:p>
              </w:tc>
              <w:tc>
                <w:tcPr>
                  <w:tcW w:w="399" w:type="pct"/>
                  <w:vMerge w:val="restart"/>
                  <w:shd w:val="clear" w:color="auto" w:fill="auto"/>
                  <w:vAlign w:val="center"/>
                </w:tcPr>
                <w:p w14:paraId="703C0DE3">
                  <w:pPr>
                    <w:adjustRightInd w:val="0"/>
                    <w:snapToGrid w:val="0"/>
                    <w:jc w:val="center"/>
                    <w:rPr>
                      <w:i/>
                      <w:iCs/>
                      <w:color w:val="auto"/>
                      <w:sz w:val="13"/>
                      <w:szCs w:val="13"/>
                      <w:u w:val="single"/>
                    </w:rPr>
                  </w:pPr>
                  <w:r>
                    <w:rPr>
                      <w:rFonts w:hint="eastAsia"/>
                      <w:i/>
                      <w:iCs/>
                      <w:color w:val="auto"/>
                      <w:sz w:val="13"/>
                      <w:szCs w:val="13"/>
                      <w:u w:val="single"/>
                    </w:rPr>
                    <w:t>捞沙机</w:t>
                  </w:r>
                </w:p>
              </w:tc>
              <w:tc>
                <w:tcPr>
                  <w:tcW w:w="398" w:type="pct"/>
                  <w:vMerge w:val="restart"/>
                  <w:shd w:val="clear" w:color="auto" w:fill="auto"/>
                  <w:vAlign w:val="center"/>
                </w:tcPr>
                <w:p w14:paraId="49C955BB">
                  <w:pPr>
                    <w:adjustRightInd w:val="0"/>
                    <w:snapToGrid w:val="0"/>
                    <w:jc w:val="center"/>
                    <w:rPr>
                      <w:i/>
                      <w:iCs/>
                      <w:color w:val="auto"/>
                      <w:sz w:val="13"/>
                      <w:szCs w:val="13"/>
                      <w:u w:val="single"/>
                    </w:rPr>
                  </w:pPr>
                  <w:r>
                    <w:rPr>
                      <w:rFonts w:hint="eastAsia"/>
                      <w:i/>
                      <w:iCs/>
                      <w:color w:val="auto"/>
                      <w:sz w:val="13"/>
                      <w:szCs w:val="13"/>
                      <w:u w:val="single"/>
                    </w:rPr>
                    <w:t>65</w:t>
                  </w:r>
                </w:p>
              </w:tc>
              <w:tc>
                <w:tcPr>
                  <w:tcW w:w="402" w:type="pct"/>
                  <w:vMerge w:val="restart"/>
                  <w:shd w:val="clear" w:color="auto" w:fill="auto"/>
                  <w:vAlign w:val="center"/>
                </w:tcPr>
                <w:p w14:paraId="1EE27073">
                  <w:pPr>
                    <w:adjustRightInd w:val="0"/>
                    <w:snapToGrid w:val="0"/>
                    <w:jc w:val="center"/>
                    <w:rPr>
                      <w:i/>
                      <w:iCs/>
                      <w:color w:val="auto"/>
                      <w:sz w:val="13"/>
                      <w:szCs w:val="13"/>
                      <w:u w:val="single"/>
                    </w:rPr>
                  </w:pPr>
                  <w:r>
                    <w:rPr>
                      <w:rFonts w:hint="eastAsia"/>
                      <w:i/>
                      <w:iCs/>
                      <w:color w:val="auto"/>
                      <w:sz w:val="13"/>
                      <w:szCs w:val="13"/>
                      <w:u w:val="single"/>
                    </w:rPr>
                    <w:t>电机隔声罩、建筑隔声</w:t>
                  </w:r>
                </w:p>
              </w:tc>
              <w:tc>
                <w:tcPr>
                  <w:tcW w:w="251" w:type="pct"/>
                  <w:vMerge w:val="restart"/>
                  <w:shd w:val="clear" w:color="auto" w:fill="auto"/>
                  <w:vAlign w:val="center"/>
                </w:tcPr>
                <w:p w14:paraId="15740816">
                  <w:pPr>
                    <w:adjustRightInd w:val="0"/>
                    <w:snapToGrid w:val="0"/>
                    <w:jc w:val="center"/>
                    <w:rPr>
                      <w:i/>
                      <w:iCs/>
                      <w:color w:val="auto"/>
                      <w:sz w:val="13"/>
                      <w:szCs w:val="13"/>
                      <w:u w:val="single"/>
                    </w:rPr>
                  </w:pPr>
                  <w:r>
                    <w:rPr>
                      <w:rFonts w:hint="eastAsia"/>
                      <w:i/>
                      <w:iCs/>
                      <w:color w:val="auto"/>
                      <w:sz w:val="13"/>
                      <w:szCs w:val="13"/>
                      <w:u w:val="single"/>
                    </w:rPr>
                    <w:t>17</w:t>
                  </w:r>
                </w:p>
              </w:tc>
              <w:tc>
                <w:tcPr>
                  <w:tcW w:w="244" w:type="pct"/>
                  <w:vMerge w:val="restart"/>
                  <w:shd w:val="clear" w:color="auto" w:fill="auto"/>
                  <w:vAlign w:val="center"/>
                </w:tcPr>
                <w:p w14:paraId="1CBECE6A">
                  <w:pPr>
                    <w:adjustRightInd w:val="0"/>
                    <w:snapToGrid w:val="0"/>
                    <w:jc w:val="center"/>
                    <w:rPr>
                      <w:i/>
                      <w:iCs/>
                      <w:color w:val="auto"/>
                      <w:sz w:val="13"/>
                      <w:szCs w:val="13"/>
                      <w:u w:val="single"/>
                    </w:rPr>
                  </w:pPr>
                  <w:r>
                    <w:rPr>
                      <w:rFonts w:hint="eastAsia"/>
                      <w:i/>
                      <w:iCs/>
                      <w:color w:val="auto"/>
                      <w:sz w:val="13"/>
                      <w:szCs w:val="13"/>
                      <w:u w:val="single"/>
                    </w:rPr>
                    <w:t>25</w:t>
                  </w:r>
                </w:p>
              </w:tc>
              <w:tc>
                <w:tcPr>
                  <w:tcW w:w="309" w:type="pct"/>
                  <w:vMerge w:val="restart"/>
                  <w:shd w:val="clear" w:color="auto" w:fill="auto"/>
                  <w:vAlign w:val="center"/>
                </w:tcPr>
                <w:p w14:paraId="163C0169">
                  <w:pPr>
                    <w:adjustRightInd w:val="0"/>
                    <w:snapToGrid w:val="0"/>
                    <w:jc w:val="center"/>
                    <w:rPr>
                      <w:i/>
                      <w:iCs/>
                      <w:color w:val="auto"/>
                      <w:sz w:val="13"/>
                      <w:szCs w:val="13"/>
                      <w:u w:val="single"/>
                    </w:rPr>
                  </w:pPr>
                  <w:r>
                    <w:rPr>
                      <w:rFonts w:hint="eastAsia"/>
                      <w:i/>
                      <w:iCs/>
                      <w:color w:val="auto"/>
                      <w:sz w:val="13"/>
                      <w:szCs w:val="13"/>
                      <w:u w:val="single"/>
                    </w:rPr>
                    <w:t>2</w:t>
                  </w:r>
                </w:p>
              </w:tc>
              <w:tc>
                <w:tcPr>
                  <w:tcW w:w="564" w:type="pct"/>
                  <w:shd w:val="clear" w:color="auto" w:fill="auto"/>
                  <w:vAlign w:val="center"/>
                </w:tcPr>
                <w:p w14:paraId="2AF92DA0">
                  <w:pPr>
                    <w:adjustRightInd w:val="0"/>
                    <w:snapToGrid w:val="0"/>
                    <w:jc w:val="center"/>
                    <w:rPr>
                      <w:i/>
                      <w:iCs/>
                      <w:color w:val="auto"/>
                      <w:sz w:val="13"/>
                      <w:szCs w:val="13"/>
                      <w:u w:val="single"/>
                    </w:rPr>
                  </w:pPr>
                  <w:r>
                    <w:rPr>
                      <w:rFonts w:hint="eastAsia"/>
                      <w:i/>
                      <w:iCs/>
                      <w:color w:val="auto"/>
                      <w:sz w:val="13"/>
                      <w:szCs w:val="13"/>
                      <w:u w:val="single"/>
                    </w:rPr>
                    <w:t>东，13m</w:t>
                  </w:r>
                </w:p>
              </w:tc>
              <w:tc>
                <w:tcPr>
                  <w:tcW w:w="489" w:type="pct"/>
                  <w:shd w:val="clear" w:color="auto" w:fill="auto"/>
                  <w:vAlign w:val="center"/>
                </w:tcPr>
                <w:p w14:paraId="1D2F7BF2">
                  <w:pPr>
                    <w:adjustRightInd w:val="0"/>
                    <w:snapToGrid w:val="0"/>
                    <w:jc w:val="center"/>
                    <w:rPr>
                      <w:i/>
                      <w:iCs/>
                      <w:color w:val="auto"/>
                      <w:sz w:val="13"/>
                      <w:szCs w:val="13"/>
                      <w:u w:val="single"/>
                    </w:rPr>
                  </w:pPr>
                  <w:r>
                    <w:rPr>
                      <w:rFonts w:hint="eastAsia"/>
                      <w:i/>
                      <w:iCs/>
                      <w:color w:val="auto"/>
                      <w:sz w:val="13"/>
                      <w:szCs w:val="13"/>
                      <w:u w:val="single"/>
                    </w:rPr>
                    <w:t>43</w:t>
                  </w:r>
                </w:p>
              </w:tc>
              <w:tc>
                <w:tcPr>
                  <w:tcW w:w="399" w:type="pct"/>
                  <w:vMerge w:val="restart"/>
                  <w:shd w:val="clear" w:color="auto" w:fill="auto"/>
                  <w:vAlign w:val="center"/>
                </w:tcPr>
                <w:p w14:paraId="3B802FA3">
                  <w:pPr>
                    <w:adjustRightInd w:val="0"/>
                    <w:snapToGrid w:val="0"/>
                    <w:jc w:val="center"/>
                    <w:rPr>
                      <w:i/>
                      <w:iCs/>
                      <w:color w:val="auto"/>
                      <w:sz w:val="13"/>
                      <w:szCs w:val="13"/>
                      <w:u w:val="single"/>
                    </w:rPr>
                  </w:pPr>
                  <w:r>
                    <w:rPr>
                      <w:rFonts w:hint="eastAsia"/>
                      <w:i/>
                      <w:iCs/>
                      <w:color w:val="auto"/>
                      <w:sz w:val="13"/>
                      <w:szCs w:val="13"/>
                      <w:u w:val="single"/>
                    </w:rPr>
                    <w:t>16h/d</w:t>
                  </w:r>
                </w:p>
              </w:tc>
              <w:tc>
                <w:tcPr>
                  <w:tcW w:w="476" w:type="pct"/>
                  <w:vMerge w:val="restart"/>
                  <w:shd w:val="clear" w:color="auto" w:fill="auto"/>
                  <w:vAlign w:val="center"/>
                </w:tcPr>
                <w:p w14:paraId="225AE95B">
                  <w:pPr>
                    <w:adjustRightInd w:val="0"/>
                    <w:snapToGrid w:val="0"/>
                    <w:jc w:val="center"/>
                    <w:rPr>
                      <w:i/>
                      <w:iCs/>
                      <w:color w:val="auto"/>
                      <w:sz w:val="13"/>
                      <w:szCs w:val="13"/>
                      <w:u w:val="single"/>
                    </w:rPr>
                  </w:pPr>
                  <w:r>
                    <w:rPr>
                      <w:rFonts w:hint="eastAsia"/>
                      <w:i/>
                      <w:iCs/>
                      <w:color w:val="auto"/>
                      <w:sz w:val="13"/>
                      <w:szCs w:val="13"/>
                      <w:u w:val="single"/>
                    </w:rPr>
                    <w:t>20</w:t>
                  </w:r>
                </w:p>
              </w:tc>
              <w:tc>
                <w:tcPr>
                  <w:tcW w:w="398" w:type="pct"/>
                  <w:shd w:val="clear" w:color="auto" w:fill="auto"/>
                  <w:vAlign w:val="center"/>
                </w:tcPr>
                <w:p w14:paraId="421D8C17">
                  <w:pPr>
                    <w:adjustRightInd w:val="0"/>
                    <w:snapToGrid w:val="0"/>
                    <w:jc w:val="center"/>
                    <w:rPr>
                      <w:i/>
                      <w:iCs/>
                      <w:color w:val="auto"/>
                      <w:sz w:val="13"/>
                      <w:szCs w:val="13"/>
                      <w:u w:val="single"/>
                    </w:rPr>
                  </w:pPr>
                  <w:r>
                    <w:rPr>
                      <w:rFonts w:hint="eastAsia"/>
                      <w:i/>
                      <w:iCs/>
                      <w:color w:val="auto"/>
                      <w:sz w:val="13"/>
                      <w:szCs w:val="13"/>
                      <w:u w:val="single"/>
                    </w:rPr>
                    <w:t>23</w:t>
                  </w:r>
                </w:p>
              </w:tc>
              <w:tc>
                <w:tcPr>
                  <w:tcW w:w="332" w:type="pct"/>
                  <w:shd w:val="clear" w:color="auto" w:fill="auto"/>
                  <w:vAlign w:val="center"/>
                </w:tcPr>
                <w:p w14:paraId="483EEB83">
                  <w:pPr>
                    <w:adjustRightInd w:val="0"/>
                    <w:snapToGrid w:val="0"/>
                    <w:jc w:val="center"/>
                    <w:rPr>
                      <w:i/>
                      <w:iCs/>
                      <w:color w:val="auto"/>
                      <w:sz w:val="13"/>
                      <w:szCs w:val="13"/>
                      <w:u w:val="single"/>
                    </w:rPr>
                  </w:pPr>
                  <w:r>
                    <w:rPr>
                      <w:rFonts w:hint="eastAsia"/>
                      <w:i/>
                      <w:iCs/>
                      <w:color w:val="auto"/>
                      <w:sz w:val="13"/>
                      <w:szCs w:val="13"/>
                      <w:u w:val="single"/>
                    </w:rPr>
                    <w:t>1m</w:t>
                  </w:r>
                </w:p>
              </w:tc>
            </w:tr>
            <w:tr w14:paraId="2C205A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333" w:type="pct"/>
                  <w:vMerge w:val="continue"/>
                </w:tcPr>
                <w:p w14:paraId="5A8C54D0">
                  <w:pPr>
                    <w:adjustRightInd w:val="0"/>
                    <w:snapToGrid w:val="0"/>
                    <w:jc w:val="center"/>
                    <w:rPr>
                      <w:i/>
                      <w:iCs/>
                      <w:color w:val="auto"/>
                      <w:sz w:val="15"/>
                      <w:szCs w:val="15"/>
                      <w:u w:val="single"/>
                    </w:rPr>
                  </w:pPr>
                </w:p>
              </w:tc>
              <w:tc>
                <w:tcPr>
                  <w:tcW w:w="399" w:type="pct"/>
                  <w:vMerge w:val="continue"/>
                </w:tcPr>
                <w:p w14:paraId="19F4FDCF">
                  <w:pPr>
                    <w:adjustRightInd w:val="0"/>
                    <w:snapToGrid w:val="0"/>
                    <w:jc w:val="center"/>
                    <w:rPr>
                      <w:i/>
                      <w:iCs/>
                      <w:color w:val="auto"/>
                      <w:sz w:val="15"/>
                      <w:szCs w:val="15"/>
                      <w:u w:val="single"/>
                    </w:rPr>
                  </w:pPr>
                </w:p>
              </w:tc>
              <w:tc>
                <w:tcPr>
                  <w:tcW w:w="398" w:type="pct"/>
                  <w:vMerge w:val="continue"/>
                </w:tcPr>
                <w:p w14:paraId="1C521020">
                  <w:pPr>
                    <w:adjustRightInd w:val="0"/>
                    <w:snapToGrid w:val="0"/>
                    <w:jc w:val="center"/>
                    <w:rPr>
                      <w:i/>
                      <w:iCs/>
                      <w:color w:val="auto"/>
                      <w:sz w:val="15"/>
                      <w:szCs w:val="15"/>
                      <w:u w:val="single"/>
                    </w:rPr>
                  </w:pPr>
                </w:p>
              </w:tc>
              <w:tc>
                <w:tcPr>
                  <w:tcW w:w="402" w:type="pct"/>
                  <w:vMerge w:val="continue"/>
                </w:tcPr>
                <w:p w14:paraId="5503F292">
                  <w:pPr>
                    <w:adjustRightInd w:val="0"/>
                    <w:snapToGrid w:val="0"/>
                    <w:jc w:val="center"/>
                    <w:rPr>
                      <w:i/>
                      <w:iCs/>
                      <w:color w:val="auto"/>
                      <w:sz w:val="15"/>
                      <w:szCs w:val="15"/>
                      <w:u w:val="single"/>
                    </w:rPr>
                  </w:pPr>
                </w:p>
              </w:tc>
              <w:tc>
                <w:tcPr>
                  <w:tcW w:w="251" w:type="pct"/>
                  <w:vMerge w:val="continue"/>
                </w:tcPr>
                <w:p w14:paraId="38088116">
                  <w:pPr>
                    <w:adjustRightInd w:val="0"/>
                    <w:snapToGrid w:val="0"/>
                    <w:jc w:val="center"/>
                    <w:rPr>
                      <w:i/>
                      <w:iCs/>
                      <w:color w:val="auto"/>
                      <w:sz w:val="15"/>
                      <w:szCs w:val="15"/>
                      <w:u w:val="single"/>
                    </w:rPr>
                  </w:pPr>
                </w:p>
              </w:tc>
              <w:tc>
                <w:tcPr>
                  <w:tcW w:w="244" w:type="pct"/>
                  <w:vMerge w:val="continue"/>
                </w:tcPr>
                <w:p w14:paraId="690ACBF4">
                  <w:pPr>
                    <w:adjustRightInd w:val="0"/>
                    <w:snapToGrid w:val="0"/>
                    <w:jc w:val="center"/>
                    <w:rPr>
                      <w:i/>
                      <w:iCs/>
                      <w:color w:val="auto"/>
                      <w:sz w:val="15"/>
                      <w:szCs w:val="15"/>
                      <w:u w:val="single"/>
                    </w:rPr>
                  </w:pPr>
                </w:p>
              </w:tc>
              <w:tc>
                <w:tcPr>
                  <w:tcW w:w="309" w:type="pct"/>
                  <w:vMerge w:val="continue"/>
                </w:tcPr>
                <w:p w14:paraId="2969DF51">
                  <w:pPr>
                    <w:adjustRightInd w:val="0"/>
                    <w:snapToGrid w:val="0"/>
                    <w:jc w:val="center"/>
                    <w:rPr>
                      <w:i/>
                      <w:iCs/>
                      <w:color w:val="auto"/>
                      <w:sz w:val="15"/>
                      <w:szCs w:val="15"/>
                      <w:u w:val="single"/>
                    </w:rPr>
                  </w:pPr>
                </w:p>
              </w:tc>
              <w:tc>
                <w:tcPr>
                  <w:tcW w:w="564" w:type="pct"/>
                  <w:shd w:val="clear" w:color="auto" w:fill="auto"/>
                  <w:vAlign w:val="center"/>
                </w:tcPr>
                <w:p w14:paraId="26C8E61F">
                  <w:pPr>
                    <w:adjustRightInd w:val="0"/>
                    <w:snapToGrid w:val="0"/>
                    <w:jc w:val="center"/>
                    <w:rPr>
                      <w:i/>
                      <w:iCs/>
                      <w:color w:val="auto"/>
                      <w:sz w:val="13"/>
                      <w:szCs w:val="13"/>
                      <w:u w:val="single"/>
                    </w:rPr>
                  </w:pPr>
                  <w:r>
                    <w:rPr>
                      <w:rFonts w:hint="eastAsia"/>
                      <w:i/>
                      <w:iCs/>
                      <w:color w:val="auto"/>
                      <w:sz w:val="13"/>
                      <w:szCs w:val="13"/>
                      <w:u w:val="single"/>
                    </w:rPr>
                    <w:t>南，25m</w:t>
                  </w:r>
                </w:p>
              </w:tc>
              <w:tc>
                <w:tcPr>
                  <w:tcW w:w="489" w:type="pct"/>
                  <w:shd w:val="clear" w:color="auto" w:fill="auto"/>
                  <w:vAlign w:val="center"/>
                </w:tcPr>
                <w:p w14:paraId="0654672B">
                  <w:pPr>
                    <w:adjustRightInd w:val="0"/>
                    <w:snapToGrid w:val="0"/>
                    <w:jc w:val="center"/>
                    <w:rPr>
                      <w:i/>
                      <w:iCs/>
                      <w:color w:val="auto"/>
                      <w:sz w:val="13"/>
                      <w:szCs w:val="13"/>
                      <w:u w:val="single"/>
                    </w:rPr>
                  </w:pPr>
                  <w:r>
                    <w:rPr>
                      <w:rFonts w:hint="eastAsia"/>
                      <w:i/>
                      <w:iCs/>
                      <w:color w:val="auto"/>
                      <w:sz w:val="13"/>
                      <w:szCs w:val="13"/>
                      <w:u w:val="single"/>
                    </w:rPr>
                    <w:t>37</w:t>
                  </w:r>
                </w:p>
              </w:tc>
              <w:tc>
                <w:tcPr>
                  <w:tcW w:w="399" w:type="pct"/>
                  <w:vMerge w:val="continue"/>
                </w:tcPr>
                <w:p w14:paraId="71FE41EF">
                  <w:pPr>
                    <w:adjustRightInd w:val="0"/>
                    <w:snapToGrid w:val="0"/>
                    <w:jc w:val="center"/>
                    <w:rPr>
                      <w:i/>
                      <w:iCs/>
                      <w:color w:val="auto"/>
                      <w:sz w:val="15"/>
                      <w:szCs w:val="15"/>
                      <w:u w:val="single"/>
                    </w:rPr>
                  </w:pPr>
                </w:p>
              </w:tc>
              <w:tc>
                <w:tcPr>
                  <w:tcW w:w="476" w:type="pct"/>
                  <w:vMerge w:val="continue"/>
                </w:tcPr>
                <w:p w14:paraId="5E94EB03">
                  <w:pPr>
                    <w:adjustRightInd w:val="0"/>
                    <w:snapToGrid w:val="0"/>
                    <w:jc w:val="center"/>
                    <w:rPr>
                      <w:i/>
                      <w:iCs/>
                      <w:color w:val="auto"/>
                      <w:sz w:val="15"/>
                      <w:szCs w:val="15"/>
                      <w:u w:val="single"/>
                    </w:rPr>
                  </w:pPr>
                </w:p>
              </w:tc>
              <w:tc>
                <w:tcPr>
                  <w:tcW w:w="398" w:type="pct"/>
                  <w:shd w:val="clear" w:color="auto" w:fill="auto"/>
                  <w:vAlign w:val="center"/>
                </w:tcPr>
                <w:p w14:paraId="0F66009E">
                  <w:pPr>
                    <w:adjustRightInd w:val="0"/>
                    <w:snapToGrid w:val="0"/>
                    <w:jc w:val="center"/>
                    <w:rPr>
                      <w:i/>
                      <w:iCs/>
                      <w:color w:val="auto"/>
                      <w:sz w:val="13"/>
                      <w:szCs w:val="13"/>
                      <w:u w:val="single"/>
                    </w:rPr>
                  </w:pPr>
                  <w:r>
                    <w:rPr>
                      <w:rFonts w:hint="eastAsia"/>
                      <w:i/>
                      <w:iCs/>
                      <w:color w:val="auto"/>
                      <w:sz w:val="13"/>
                      <w:szCs w:val="13"/>
                      <w:u w:val="single"/>
                    </w:rPr>
                    <w:t>17</w:t>
                  </w:r>
                </w:p>
              </w:tc>
              <w:tc>
                <w:tcPr>
                  <w:tcW w:w="332" w:type="pct"/>
                  <w:shd w:val="clear" w:color="auto" w:fill="auto"/>
                  <w:vAlign w:val="center"/>
                </w:tcPr>
                <w:p w14:paraId="297349E6">
                  <w:pPr>
                    <w:adjustRightInd w:val="0"/>
                    <w:snapToGrid w:val="0"/>
                    <w:jc w:val="center"/>
                    <w:rPr>
                      <w:i/>
                      <w:iCs/>
                      <w:color w:val="auto"/>
                      <w:sz w:val="13"/>
                      <w:szCs w:val="13"/>
                      <w:u w:val="single"/>
                    </w:rPr>
                  </w:pPr>
                  <w:r>
                    <w:rPr>
                      <w:rFonts w:hint="eastAsia"/>
                      <w:i/>
                      <w:iCs/>
                      <w:color w:val="auto"/>
                      <w:sz w:val="13"/>
                      <w:szCs w:val="13"/>
                      <w:u w:val="single"/>
                    </w:rPr>
                    <w:t>1m</w:t>
                  </w:r>
                </w:p>
              </w:tc>
            </w:tr>
            <w:tr w14:paraId="3219FE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333" w:type="pct"/>
                  <w:vMerge w:val="continue"/>
                </w:tcPr>
                <w:p w14:paraId="6B8B424E">
                  <w:pPr>
                    <w:adjustRightInd w:val="0"/>
                    <w:snapToGrid w:val="0"/>
                    <w:jc w:val="center"/>
                    <w:rPr>
                      <w:i/>
                      <w:iCs/>
                      <w:color w:val="auto"/>
                      <w:sz w:val="15"/>
                      <w:szCs w:val="15"/>
                      <w:u w:val="single"/>
                    </w:rPr>
                  </w:pPr>
                </w:p>
              </w:tc>
              <w:tc>
                <w:tcPr>
                  <w:tcW w:w="399" w:type="pct"/>
                  <w:vMerge w:val="continue"/>
                </w:tcPr>
                <w:p w14:paraId="115A8DFF">
                  <w:pPr>
                    <w:adjustRightInd w:val="0"/>
                    <w:snapToGrid w:val="0"/>
                    <w:jc w:val="center"/>
                    <w:rPr>
                      <w:i/>
                      <w:iCs/>
                      <w:color w:val="auto"/>
                      <w:sz w:val="15"/>
                      <w:szCs w:val="15"/>
                      <w:u w:val="single"/>
                    </w:rPr>
                  </w:pPr>
                </w:p>
              </w:tc>
              <w:tc>
                <w:tcPr>
                  <w:tcW w:w="398" w:type="pct"/>
                  <w:vMerge w:val="continue"/>
                </w:tcPr>
                <w:p w14:paraId="59ED4847">
                  <w:pPr>
                    <w:adjustRightInd w:val="0"/>
                    <w:snapToGrid w:val="0"/>
                    <w:jc w:val="center"/>
                    <w:rPr>
                      <w:i/>
                      <w:iCs/>
                      <w:color w:val="auto"/>
                      <w:sz w:val="15"/>
                      <w:szCs w:val="15"/>
                      <w:u w:val="single"/>
                    </w:rPr>
                  </w:pPr>
                </w:p>
              </w:tc>
              <w:tc>
                <w:tcPr>
                  <w:tcW w:w="402" w:type="pct"/>
                  <w:vMerge w:val="continue"/>
                </w:tcPr>
                <w:p w14:paraId="278A6F00">
                  <w:pPr>
                    <w:adjustRightInd w:val="0"/>
                    <w:snapToGrid w:val="0"/>
                    <w:jc w:val="center"/>
                    <w:rPr>
                      <w:i/>
                      <w:iCs/>
                      <w:color w:val="auto"/>
                      <w:sz w:val="15"/>
                      <w:szCs w:val="15"/>
                      <w:u w:val="single"/>
                    </w:rPr>
                  </w:pPr>
                </w:p>
              </w:tc>
              <w:tc>
                <w:tcPr>
                  <w:tcW w:w="251" w:type="pct"/>
                  <w:vMerge w:val="continue"/>
                </w:tcPr>
                <w:p w14:paraId="0668C815">
                  <w:pPr>
                    <w:adjustRightInd w:val="0"/>
                    <w:snapToGrid w:val="0"/>
                    <w:jc w:val="center"/>
                    <w:rPr>
                      <w:i/>
                      <w:iCs/>
                      <w:color w:val="auto"/>
                      <w:sz w:val="15"/>
                      <w:szCs w:val="15"/>
                      <w:u w:val="single"/>
                    </w:rPr>
                  </w:pPr>
                </w:p>
              </w:tc>
              <w:tc>
                <w:tcPr>
                  <w:tcW w:w="244" w:type="pct"/>
                  <w:vMerge w:val="continue"/>
                </w:tcPr>
                <w:p w14:paraId="6275E7F6">
                  <w:pPr>
                    <w:adjustRightInd w:val="0"/>
                    <w:snapToGrid w:val="0"/>
                    <w:jc w:val="center"/>
                    <w:rPr>
                      <w:i/>
                      <w:iCs/>
                      <w:color w:val="auto"/>
                      <w:sz w:val="15"/>
                      <w:szCs w:val="15"/>
                      <w:u w:val="single"/>
                    </w:rPr>
                  </w:pPr>
                </w:p>
              </w:tc>
              <w:tc>
                <w:tcPr>
                  <w:tcW w:w="309" w:type="pct"/>
                  <w:vMerge w:val="continue"/>
                </w:tcPr>
                <w:p w14:paraId="249ABABE">
                  <w:pPr>
                    <w:adjustRightInd w:val="0"/>
                    <w:snapToGrid w:val="0"/>
                    <w:jc w:val="center"/>
                    <w:rPr>
                      <w:i/>
                      <w:iCs/>
                      <w:color w:val="auto"/>
                      <w:sz w:val="15"/>
                      <w:szCs w:val="15"/>
                      <w:u w:val="single"/>
                    </w:rPr>
                  </w:pPr>
                </w:p>
              </w:tc>
              <w:tc>
                <w:tcPr>
                  <w:tcW w:w="564" w:type="pct"/>
                  <w:shd w:val="clear" w:color="auto" w:fill="auto"/>
                  <w:vAlign w:val="center"/>
                </w:tcPr>
                <w:p w14:paraId="314C8CEA">
                  <w:pPr>
                    <w:adjustRightInd w:val="0"/>
                    <w:snapToGrid w:val="0"/>
                    <w:jc w:val="center"/>
                    <w:rPr>
                      <w:i/>
                      <w:iCs/>
                      <w:color w:val="auto"/>
                      <w:sz w:val="13"/>
                      <w:szCs w:val="13"/>
                      <w:u w:val="single"/>
                    </w:rPr>
                  </w:pPr>
                  <w:r>
                    <w:rPr>
                      <w:rFonts w:hint="eastAsia"/>
                      <w:i/>
                      <w:iCs/>
                      <w:color w:val="auto"/>
                      <w:sz w:val="13"/>
                      <w:szCs w:val="13"/>
                      <w:u w:val="single"/>
                    </w:rPr>
                    <w:t>西，17m</w:t>
                  </w:r>
                </w:p>
              </w:tc>
              <w:tc>
                <w:tcPr>
                  <w:tcW w:w="489" w:type="pct"/>
                  <w:shd w:val="clear" w:color="auto" w:fill="auto"/>
                  <w:vAlign w:val="center"/>
                </w:tcPr>
                <w:p w14:paraId="3EA97D3F">
                  <w:pPr>
                    <w:adjustRightInd w:val="0"/>
                    <w:snapToGrid w:val="0"/>
                    <w:jc w:val="center"/>
                    <w:rPr>
                      <w:i/>
                      <w:iCs/>
                      <w:color w:val="auto"/>
                      <w:sz w:val="13"/>
                      <w:szCs w:val="13"/>
                      <w:u w:val="single"/>
                    </w:rPr>
                  </w:pPr>
                  <w:r>
                    <w:rPr>
                      <w:rFonts w:hint="eastAsia"/>
                      <w:i/>
                      <w:iCs/>
                      <w:color w:val="auto"/>
                      <w:sz w:val="13"/>
                      <w:szCs w:val="13"/>
                      <w:u w:val="single"/>
                    </w:rPr>
                    <w:t>40</w:t>
                  </w:r>
                </w:p>
              </w:tc>
              <w:tc>
                <w:tcPr>
                  <w:tcW w:w="399" w:type="pct"/>
                  <w:vMerge w:val="continue"/>
                </w:tcPr>
                <w:p w14:paraId="5947FE46">
                  <w:pPr>
                    <w:adjustRightInd w:val="0"/>
                    <w:snapToGrid w:val="0"/>
                    <w:jc w:val="center"/>
                    <w:rPr>
                      <w:i/>
                      <w:iCs/>
                      <w:color w:val="auto"/>
                      <w:sz w:val="15"/>
                      <w:szCs w:val="15"/>
                      <w:u w:val="single"/>
                    </w:rPr>
                  </w:pPr>
                </w:p>
              </w:tc>
              <w:tc>
                <w:tcPr>
                  <w:tcW w:w="476" w:type="pct"/>
                  <w:vMerge w:val="continue"/>
                </w:tcPr>
                <w:p w14:paraId="6B6CFE56">
                  <w:pPr>
                    <w:adjustRightInd w:val="0"/>
                    <w:snapToGrid w:val="0"/>
                    <w:jc w:val="center"/>
                    <w:rPr>
                      <w:i/>
                      <w:iCs/>
                      <w:color w:val="auto"/>
                      <w:sz w:val="15"/>
                      <w:szCs w:val="15"/>
                      <w:u w:val="single"/>
                    </w:rPr>
                  </w:pPr>
                </w:p>
              </w:tc>
              <w:tc>
                <w:tcPr>
                  <w:tcW w:w="398" w:type="pct"/>
                  <w:shd w:val="clear" w:color="auto" w:fill="auto"/>
                  <w:vAlign w:val="center"/>
                </w:tcPr>
                <w:p w14:paraId="0FF1FDAE">
                  <w:pPr>
                    <w:adjustRightInd w:val="0"/>
                    <w:snapToGrid w:val="0"/>
                    <w:jc w:val="center"/>
                    <w:rPr>
                      <w:i/>
                      <w:iCs/>
                      <w:color w:val="auto"/>
                      <w:sz w:val="13"/>
                      <w:szCs w:val="13"/>
                      <w:u w:val="single"/>
                    </w:rPr>
                  </w:pPr>
                  <w:r>
                    <w:rPr>
                      <w:rFonts w:hint="eastAsia"/>
                      <w:i/>
                      <w:iCs/>
                      <w:color w:val="auto"/>
                      <w:sz w:val="13"/>
                      <w:szCs w:val="13"/>
                      <w:u w:val="single"/>
                    </w:rPr>
                    <w:t>20</w:t>
                  </w:r>
                </w:p>
              </w:tc>
              <w:tc>
                <w:tcPr>
                  <w:tcW w:w="332" w:type="pct"/>
                  <w:shd w:val="clear" w:color="auto" w:fill="auto"/>
                  <w:vAlign w:val="center"/>
                </w:tcPr>
                <w:p w14:paraId="0ABF9794">
                  <w:pPr>
                    <w:adjustRightInd w:val="0"/>
                    <w:snapToGrid w:val="0"/>
                    <w:jc w:val="center"/>
                    <w:rPr>
                      <w:i/>
                      <w:iCs/>
                      <w:color w:val="auto"/>
                      <w:sz w:val="13"/>
                      <w:szCs w:val="13"/>
                      <w:u w:val="single"/>
                    </w:rPr>
                  </w:pPr>
                  <w:r>
                    <w:rPr>
                      <w:rFonts w:hint="eastAsia"/>
                      <w:i/>
                      <w:iCs/>
                      <w:color w:val="auto"/>
                      <w:sz w:val="13"/>
                      <w:szCs w:val="13"/>
                      <w:u w:val="single"/>
                    </w:rPr>
                    <w:t>1m</w:t>
                  </w:r>
                </w:p>
              </w:tc>
            </w:tr>
            <w:tr w14:paraId="7855D9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333" w:type="pct"/>
                  <w:vMerge w:val="continue"/>
                </w:tcPr>
                <w:p w14:paraId="58F4BCF0">
                  <w:pPr>
                    <w:adjustRightInd w:val="0"/>
                    <w:snapToGrid w:val="0"/>
                    <w:jc w:val="center"/>
                    <w:rPr>
                      <w:i/>
                      <w:iCs/>
                      <w:color w:val="auto"/>
                      <w:sz w:val="15"/>
                      <w:szCs w:val="15"/>
                      <w:u w:val="single"/>
                    </w:rPr>
                  </w:pPr>
                </w:p>
              </w:tc>
              <w:tc>
                <w:tcPr>
                  <w:tcW w:w="399" w:type="pct"/>
                  <w:vMerge w:val="continue"/>
                </w:tcPr>
                <w:p w14:paraId="7EEAE483">
                  <w:pPr>
                    <w:adjustRightInd w:val="0"/>
                    <w:snapToGrid w:val="0"/>
                    <w:jc w:val="center"/>
                    <w:rPr>
                      <w:i/>
                      <w:iCs/>
                      <w:color w:val="auto"/>
                      <w:sz w:val="15"/>
                      <w:szCs w:val="15"/>
                      <w:u w:val="single"/>
                    </w:rPr>
                  </w:pPr>
                </w:p>
              </w:tc>
              <w:tc>
                <w:tcPr>
                  <w:tcW w:w="398" w:type="pct"/>
                  <w:vMerge w:val="continue"/>
                </w:tcPr>
                <w:p w14:paraId="3757CBC5">
                  <w:pPr>
                    <w:adjustRightInd w:val="0"/>
                    <w:snapToGrid w:val="0"/>
                    <w:jc w:val="center"/>
                    <w:rPr>
                      <w:i/>
                      <w:iCs/>
                      <w:color w:val="auto"/>
                      <w:sz w:val="15"/>
                      <w:szCs w:val="15"/>
                      <w:u w:val="single"/>
                    </w:rPr>
                  </w:pPr>
                </w:p>
              </w:tc>
              <w:tc>
                <w:tcPr>
                  <w:tcW w:w="402" w:type="pct"/>
                  <w:vMerge w:val="continue"/>
                </w:tcPr>
                <w:p w14:paraId="58DE85F0">
                  <w:pPr>
                    <w:adjustRightInd w:val="0"/>
                    <w:snapToGrid w:val="0"/>
                    <w:jc w:val="center"/>
                    <w:rPr>
                      <w:i/>
                      <w:iCs/>
                      <w:color w:val="auto"/>
                      <w:sz w:val="15"/>
                      <w:szCs w:val="15"/>
                      <w:u w:val="single"/>
                    </w:rPr>
                  </w:pPr>
                </w:p>
              </w:tc>
              <w:tc>
                <w:tcPr>
                  <w:tcW w:w="251" w:type="pct"/>
                  <w:vMerge w:val="continue"/>
                </w:tcPr>
                <w:p w14:paraId="53601F58">
                  <w:pPr>
                    <w:adjustRightInd w:val="0"/>
                    <w:snapToGrid w:val="0"/>
                    <w:jc w:val="center"/>
                    <w:rPr>
                      <w:i/>
                      <w:iCs/>
                      <w:color w:val="auto"/>
                      <w:sz w:val="15"/>
                      <w:szCs w:val="15"/>
                      <w:u w:val="single"/>
                    </w:rPr>
                  </w:pPr>
                </w:p>
              </w:tc>
              <w:tc>
                <w:tcPr>
                  <w:tcW w:w="244" w:type="pct"/>
                  <w:vMerge w:val="continue"/>
                </w:tcPr>
                <w:p w14:paraId="409A32B0">
                  <w:pPr>
                    <w:adjustRightInd w:val="0"/>
                    <w:snapToGrid w:val="0"/>
                    <w:jc w:val="center"/>
                    <w:rPr>
                      <w:i/>
                      <w:iCs/>
                      <w:color w:val="auto"/>
                      <w:sz w:val="15"/>
                      <w:szCs w:val="15"/>
                      <w:u w:val="single"/>
                    </w:rPr>
                  </w:pPr>
                </w:p>
              </w:tc>
              <w:tc>
                <w:tcPr>
                  <w:tcW w:w="309" w:type="pct"/>
                  <w:vMerge w:val="continue"/>
                </w:tcPr>
                <w:p w14:paraId="40BAC454">
                  <w:pPr>
                    <w:adjustRightInd w:val="0"/>
                    <w:snapToGrid w:val="0"/>
                    <w:jc w:val="center"/>
                    <w:rPr>
                      <w:i/>
                      <w:iCs/>
                      <w:color w:val="auto"/>
                      <w:sz w:val="15"/>
                      <w:szCs w:val="15"/>
                      <w:u w:val="single"/>
                    </w:rPr>
                  </w:pPr>
                </w:p>
              </w:tc>
              <w:tc>
                <w:tcPr>
                  <w:tcW w:w="564" w:type="pct"/>
                  <w:shd w:val="clear" w:color="auto" w:fill="auto"/>
                  <w:vAlign w:val="center"/>
                </w:tcPr>
                <w:p w14:paraId="19DCFB4B">
                  <w:pPr>
                    <w:adjustRightInd w:val="0"/>
                    <w:snapToGrid w:val="0"/>
                    <w:jc w:val="center"/>
                    <w:rPr>
                      <w:i/>
                      <w:iCs/>
                      <w:color w:val="auto"/>
                      <w:sz w:val="13"/>
                      <w:szCs w:val="13"/>
                      <w:u w:val="single"/>
                    </w:rPr>
                  </w:pPr>
                  <w:r>
                    <w:rPr>
                      <w:rFonts w:hint="eastAsia"/>
                      <w:i/>
                      <w:iCs/>
                      <w:color w:val="auto"/>
                      <w:sz w:val="13"/>
                      <w:szCs w:val="13"/>
                      <w:u w:val="single"/>
                    </w:rPr>
                    <w:t>北，5m</w:t>
                  </w:r>
                </w:p>
              </w:tc>
              <w:tc>
                <w:tcPr>
                  <w:tcW w:w="489" w:type="pct"/>
                  <w:shd w:val="clear" w:color="auto" w:fill="auto"/>
                  <w:vAlign w:val="center"/>
                </w:tcPr>
                <w:p w14:paraId="085FA5F8">
                  <w:pPr>
                    <w:adjustRightInd w:val="0"/>
                    <w:snapToGrid w:val="0"/>
                    <w:jc w:val="center"/>
                    <w:rPr>
                      <w:i/>
                      <w:iCs/>
                      <w:color w:val="auto"/>
                      <w:sz w:val="13"/>
                      <w:szCs w:val="13"/>
                      <w:u w:val="single"/>
                    </w:rPr>
                  </w:pPr>
                  <w:r>
                    <w:rPr>
                      <w:rFonts w:hint="eastAsia"/>
                      <w:i/>
                      <w:iCs/>
                      <w:color w:val="auto"/>
                      <w:sz w:val="13"/>
                      <w:szCs w:val="13"/>
                      <w:u w:val="single"/>
                    </w:rPr>
                    <w:t>51</w:t>
                  </w:r>
                </w:p>
              </w:tc>
              <w:tc>
                <w:tcPr>
                  <w:tcW w:w="399" w:type="pct"/>
                  <w:vMerge w:val="continue"/>
                </w:tcPr>
                <w:p w14:paraId="4A9249B8">
                  <w:pPr>
                    <w:adjustRightInd w:val="0"/>
                    <w:snapToGrid w:val="0"/>
                    <w:jc w:val="center"/>
                    <w:rPr>
                      <w:i/>
                      <w:iCs/>
                      <w:color w:val="auto"/>
                      <w:sz w:val="15"/>
                      <w:szCs w:val="15"/>
                      <w:u w:val="single"/>
                    </w:rPr>
                  </w:pPr>
                </w:p>
              </w:tc>
              <w:tc>
                <w:tcPr>
                  <w:tcW w:w="476" w:type="pct"/>
                  <w:vMerge w:val="continue"/>
                </w:tcPr>
                <w:p w14:paraId="46AD7E58">
                  <w:pPr>
                    <w:adjustRightInd w:val="0"/>
                    <w:snapToGrid w:val="0"/>
                    <w:jc w:val="center"/>
                    <w:rPr>
                      <w:i/>
                      <w:iCs/>
                      <w:color w:val="auto"/>
                      <w:sz w:val="15"/>
                      <w:szCs w:val="15"/>
                      <w:u w:val="single"/>
                    </w:rPr>
                  </w:pPr>
                </w:p>
              </w:tc>
              <w:tc>
                <w:tcPr>
                  <w:tcW w:w="398" w:type="pct"/>
                  <w:shd w:val="clear" w:color="auto" w:fill="auto"/>
                  <w:vAlign w:val="center"/>
                </w:tcPr>
                <w:p w14:paraId="7301EEB0">
                  <w:pPr>
                    <w:adjustRightInd w:val="0"/>
                    <w:snapToGrid w:val="0"/>
                    <w:jc w:val="center"/>
                    <w:rPr>
                      <w:i/>
                      <w:iCs/>
                      <w:color w:val="auto"/>
                      <w:sz w:val="13"/>
                      <w:szCs w:val="13"/>
                      <w:u w:val="single"/>
                    </w:rPr>
                  </w:pPr>
                  <w:r>
                    <w:rPr>
                      <w:rFonts w:hint="eastAsia"/>
                      <w:i/>
                      <w:iCs/>
                      <w:color w:val="auto"/>
                      <w:sz w:val="13"/>
                      <w:szCs w:val="13"/>
                      <w:u w:val="single"/>
                    </w:rPr>
                    <w:t>31</w:t>
                  </w:r>
                </w:p>
              </w:tc>
              <w:tc>
                <w:tcPr>
                  <w:tcW w:w="332" w:type="pct"/>
                  <w:shd w:val="clear" w:color="auto" w:fill="auto"/>
                  <w:vAlign w:val="center"/>
                </w:tcPr>
                <w:p w14:paraId="5C4993F5">
                  <w:pPr>
                    <w:adjustRightInd w:val="0"/>
                    <w:snapToGrid w:val="0"/>
                    <w:jc w:val="center"/>
                    <w:rPr>
                      <w:i/>
                      <w:iCs/>
                      <w:color w:val="auto"/>
                      <w:sz w:val="13"/>
                      <w:szCs w:val="13"/>
                      <w:u w:val="single"/>
                    </w:rPr>
                  </w:pPr>
                  <w:r>
                    <w:rPr>
                      <w:rFonts w:hint="eastAsia"/>
                      <w:i/>
                      <w:iCs/>
                      <w:color w:val="auto"/>
                      <w:sz w:val="13"/>
                      <w:szCs w:val="13"/>
                      <w:u w:val="single"/>
                    </w:rPr>
                    <w:t>1m</w:t>
                  </w:r>
                </w:p>
              </w:tc>
            </w:tr>
            <w:tr w14:paraId="2B5B89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333" w:type="pct"/>
                  <w:vMerge w:val="continue"/>
                </w:tcPr>
                <w:p w14:paraId="20C89318">
                  <w:pPr>
                    <w:adjustRightInd w:val="0"/>
                    <w:snapToGrid w:val="0"/>
                    <w:jc w:val="center"/>
                    <w:rPr>
                      <w:i/>
                      <w:iCs/>
                      <w:color w:val="auto"/>
                      <w:sz w:val="15"/>
                      <w:szCs w:val="15"/>
                      <w:u w:val="single"/>
                    </w:rPr>
                  </w:pPr>
                </w:p>
              </w:tc>
              <w:tc>
                <w:tcPr>
                  <w:tcW w:w="399" w:type="pct"/>
                  <w:vMerge w:val="restart"/>
                  <w:shd w:val="clear" w:color="auto" w:fill="auto"/>
                  <w:vAlign w:val="center"/>
                </w:tcPr>
                <w:p w14:paraId="3727F3AF">
                  <w:pPr>
                    <w:adjustRightInd w:val="0"/>
                    <w:snapToGrid w:val="0"/>
                    <w:jc w:val="center"/>
                    <w:rPr>
                      <w:i/>
                      <w:iCs/>
                      <w:color w:val="auto"/>
                      <w:sz w:val="13"/>
                      <w:szCs w:val="13"/>
                      <w:u w:val="single"/>
                    </w:rPr>
                  </w:pPr>
                  <w:r>
                    <w:rPr>
                      <w:rFonts w:hint="eastAsia"/>
                      <w:i/>
                      <w:iCs/>
                      <w:color w:val="auto"/>
                      <w:sz w:val="13"/>
                      <w:szCs w:val="13"/>
                      <w:u w:val="single"/>
                    </w:rPr>
                    <w:t>脱水筛</w:t>
                  </w:r>
                </w:p>
              </w:tc>
              <w:tc>
                <w:tcPr>
                  <w:tcW w:w="398" w:type="pct"/>
                  <w:vMerge w:val="restart"/>
                  <w:shd w:val="clear" w:color="auto" w:fill="auto"/>
                  <w:vAlign w:val="center"/>
                </w:tcPr>
                <w:p w14:paraId="312CA900">
                  <w:pPr>
                    <w:adjustRightInd w:val="0"/>
                    <w:snapToGrid w:val="0"/>
                    <w:jc w:val="center"/>
                    <w:rPr>
                      <w:i/>
                      <w:iCs/>
                      <w:color w:val="auto"/>
                      <w:sz w:val="13"/>
                      <w:szCs w:val="13"/>
                      <w:u w:val="single"/>
                    </w:rPr>
                  </w:pPr>
                  <w:r>
                    <w:rPr>
                      <w:rFonts w:hint="eastAsia"/>
                      <w:i/>
                      <w:iCs/>
                      <w:color w:val="auto"/>
                      <w:sz w:val="13"/>
                      <w:szCs w:val="13"/>
                      <w:u w:val="single"/>
                    </w:rPr>
                    <w:t>70</w:t>
                  </w:r>
                </w:p>
              </w:tc>
              <w:tc>
                <w:tcPr>
                  <w:tcW w:w="402" w:type="pct"/>
                  <w:vMerge w:val="restart"/>
                  <w:shd w:val="clear" w:color="auto" w:fill="auto"/>
                  <w:vAlign w:val="center"/>
                </w:tcPr>
                <w:p w14:paraId="12576454">
                  <w:pPr>
                    <w:adjustRightInd w:val="0"/>
                    <w:snapToGrid w:val="0"/>
                    <w:jc w:val="center"/>
                    <w:rPr>
                      <w:i/>
                      <w:iCs/>
                      <w:color w:val="auto"/>
                      <w:sz w:val="13"/>
                      <w:szCs w:val="13"/>
                      <w:u w:val="single"/>
                    </w:rPr>
                  </w:pPr>
                  <w:r>
                    <w:rPr>
                      <w:rFonts w:hint="eastAsia"/>
                      <w:i/>
                      <w:iCs/>
                      <w:color w:val="auto"/>
                      <w:sz w:val="13"/>
                      <w:szCs w:val="13"/>
                      <w:u w:val="single"/>
                    </w:rPr>
                    <w:t>电机隔声罩、建筑隔声</w:t>
                  </w:r>
                </w:p>
              </w:tc>
              <w:tc>
                <w:tcPr>
                  <w:tcW w:w="251" w:type="pct"/>
                  <w:vMerge w:val="restart"/>
                  <w:shd w:val="clear" w:color="auto" w:fill="auto"/>
                  <w:vAlign w:val="center"/>
                </w:tcPr>
                <w:p w14:paraId="1A5BC182">
                  <w:pPr>
                    <w:adjustRightInd w:val="0"/>
                    <w:snapToGrid w:val="0"/>
                    <w:jc w:val="center"/>
                    <w:rPr>
                      <w:i/>
                      <w:iCs/>
                      <w:color w:val="auto"/>
                      <w:sz w:val="13"/>
                      <w:szCs w:val="13"/>
                      <w:u w:val="single"/>
                    </w:rPr>
                  </w:pPr>
                  <w:r>
                    <w:rPr>
                      <w:rFonts w:hint="eastAsia"/>
                      <w:i/>
                      <w:iCs/>
                      <w:color w:val="auto"/>
                      <w:sz w:val="13"/>
                      <w:szCs w:val="13"/>
                      <w:u w:val="single"/>
                    </w:rPr>
                    <w:t>20</w:t>
                  </w:r>
                </w:p>
              </w:tc>
              <w:tc>
                <w:tcPr>
                  <w:tcW w:w="244" w:type="pct"/>
                  <w:vMerge w:val="restart"/>
                  <w:shd w:val="clear" w:color="auto" w:fill="auto"/>
                  <w:vAlign w:val="center"/>
                </w:tcPr>
                <w:p w14:paraId="677C71B9">
                  <w:pPr>
                    <w:adjustRightInd w:val="0"/>
                    <w:snapToGrid w:val="0"/>
                    <w:jc w:val="center"/>
                    <w:rPr>
                      <w:i/>
                      <w:iCs/>
                      <w:color w:val="auto"/>
                      <w:sz w:val="13"/>
                      <w:szCs w:val="13"/>
                      <w:u w:val="single"/>
                    </w:rPr>
                  </w:pPr>
                  <w:r>
                    <w:rPr>
                      <w:rFonts w:hint="eastAsia"/>
                      <w:i/>
                      <w:iCs/>
                      <w:color w:val="auto"/>
                      <w:sz w:val="13"/>
                      <w:szCs w:val="13"/>
                      <w:u w:val="single"/>
                    </w:rPr>
                    <w:t>28</w:t>
                  </w:r>
                </w:p>
              </w:tc>
              <w:tc>
                <w:tcPr>
                  <w:tcW w:w="309" w:type="pct"/>
                  <w:vMerge w:val="restart"/>
                  <w:shd w:val="clear" w:color="auto" w:fill="auto"/>
                  <w:vAlign w:val="center"/>
                </w:tcPr>
                <w:p w14:paraId="19C93DD2">
                  <w:pPr>
                    <w:adjustRightInd w:val="0"/>
                    <w:snapToGrid w:val="0"/>
                    <w:jc w:val="center"/>
                    <w:rPr>
                      <w:i/>
                      <w:iCs/>
                      <w:color w:val="auto"/>
                      <w:sz w:val="13"/>
                      <w:szCs w:val="13"/>
                      <w:u w:val="single"/>
                    </w:rPr>
                  </w:pPr>
                  <w:r>
                    <w:rPr>
                      <w:rFonts w:hint="eastAsia"/>
                      <w:i/>
                      <w:iCs/>
                      <w:color w:val="auto"/>
                      <w:sz w:val="13"/>
                      <w:szCs w:val="13"/>
                      <w:u w:val="single"/>
                    </w:rPr>
                    <w:t>2</w:t>
                  </w:r>
                </w:p>
              </w:tc>
              <w:tc>
                <w:tcPr>
                  <w:tcW w:w="564" w:type="pct"/>
                  <w:shd w:val="clear" w:color="auto" w:fill="auto"/>
                  <w:vAlign w:val="center"/>
                </w:tcPr>
                <w:p w14:paraId="1840F5D6">
                  <w:pPr>
                    <w:adjustRightInd w:val="0"/>
                    <w:snapToGrid w:val="0"/>
                    <w:jc w:val="center"/>
                    <w:rPr>
                      <w:i/>
                      <w:iCs/>
                      <w:color w:val="auto"/>
                      <w:sz w:val="13"/>
                      <w:szCs w:val="13"/>
                      <w:u w:val="single"/>
                    </w:rPr>
                  </w:pPr>
                  <w:r>
                    <w:rPr>
                      <w:rFonts w:hint="eastAsia"/>
                      <w:i/>
                      <w:iCs/>
                      <w:color w:val="auto"/>
                      <w:sz w:val="13"/>
                      <w:szCs w:val="13"/>
                      <w:u w:val="single"/>
                    </w:rPr>
                    <w:t>东，5m</w:t>
                  </w:r>
                </w:p>
              </w:tc>
              <w:tc>
                <w:tcPr>
                  <w:tcW w:w="489" w:type="pct"/>
                  <w:shd w:val="clear" w:color="auto" w:fill="auto"/>
                  <w:vAlign w:val="center"/>
                </w:tcPr>
                <w:p w14:paraId="0D2BB8FB">
                  <w:pPr>
                    <w:adjustRightInd w:val="0"/>
                    <w:snapToGrid w:val="0"/>
                    <w:jc w:val="center"/>
                    <w:rPr>
                      <w:i/>
                      <w:iCs/>
                      <w:color w:val="auto"/>
                      <w:sz w:val="13"/>
                      <w:szCs w:val="13"/>
                      <w:u w:val="single"/>
                    </w:rPr>
                  </w:pPr>
                  <w:r>
                    <w:rPr>
                      <w:rFonts w:hint="eastAsia"/>
                      <w:i/>
                      <w:iCs/>
                      <w:color w:val="auto"/>
                      <w:sz w:val="13"/>
                      <w:szCs w:val="13"/>
                      <w:u w:val="single"/>
                    </w:rPr>
                    <w:t>56</w:t>
                  </w:r>
                </w:p>
              </w:tc>
              <w:tc>
                <w:tcPr>
                  <w:tcW w:w="399" w:type="pct"/>
                  <w:vMerge w:val="restart"/>
                  <w:shd w:val="clear" w:color="auto" w:fill="auto"/>
                  <w:vAlign w:val="center"/>
                </w:tcPr>
                <w:p w14:paraId="417DB776">
                  <w:pPr>
                    <w:adjustRightInd w:val="0"/>
                    <w:snapToGrid w:val="0"/>
                    <w:jc w:val="center"/>
                    <w:rPr>
                      <w:i/>
                      <w:iCs/>
                      <w:color w:val="auto"/>
                      <w:sz w:val="13"/>
                      <w:szCs w:val="13"/>
                      <w:u w:val="single"/>
                    </w:rPr>
                  </w:pPr>
                  <w:r>
                    <w:rPr>
                      <w:rFonts w:hint="eastAsia"/>
                      <w:i/>
                      <w:iCs/>
                      <w:color w:val="auto"/>
                      <w:sz w:val="13"/>
                      <w:szCs w:val="13"/>
                      <w:u w:val="single"/>
                    </w:rPr>
                    <w:t>16h/d</w:t>
                  </w:r>
                </w:p>
              </w:tc>
              <w:tc>
                <w:tcPr>
                  <w:tcW w:w="476" w:type="pct"/>
                  <w:vMerge w:val="restart"/>
                  <w:shd w:val="clear" w:color="auto" w:fill="auto"/>
                  <w:vAlign w:val="center"/>
                </w:tcPr>
                <w:p w14:paraId="452D8940">
                  <w:pPr>
                    <w:adjustRightInd w:val="0"/>
                    <w:snapToGrid w:val="0"/>
                    <w:jc w:val="center"/>
                    <w:rPr>
                      <w:i/>
                      <w:iCs/>
                      <w:color w:val="auto"/>
                      <w:sz w:val="13"/>
                      <w:szCs w:val="13"/>
                      <w:u w:val="single"/>
                    </w:rPr>
                  </w:pPr>
                  <w:r>
                    <w:rPr>
                      <w:rFonts w:hint="eastAsia"/>
                      <w:i/>
                      <w:iCs/>
                      <w:color w:val="auto"/>
                      <w:sz w:val="13"/>
                      <w:szCs w:val="13"/>
                      <w:u w:val="single"/>
                    </w:rPr>
                    <w:t>20</w:t>
                  </w:r>
                </w:p>
              </w:tc>
              <w:tc>
                <w:tcPr>
                  <w:tcW w:w="398" w:type="pct"/>
                  <w:shd w:val="clear" w:color="auto" w:fill="auto"/>
                  <w:vAlign w:val="center"/>
                </w:tcPr>
                <w:p w14:paraId="1B6E748E">
                  <w:pPr>
                    <w:adjustRightInd w:val="0"/>
                    <w:snapToGrid w:val="0"/>
                    <w:jc w:val="center"/>
                    <w:rPr>
                      <w:i/>
                      <w:iCs/>
                      <w:color w:val="auto"/>
                      <w:sz w:val="13"/>
                      <w:szCs w:val="13"/>
                      <w:u w:val="single"/>
                    </w:rPr>
                  </w:pPr>
                  <w:r>
                    <w:rPr>
                      <w:rFonts w:hint="eastAsia"/>
                      <w:i/>
                      <w:iCs/>
                      <w:color w:val="auto"/>
                      <w:sz w:val="13"/>
                      <w:szCs w:val="13"/>
                      <w:u w:val="single"/>
                    </w:rPr>
                    <w:t>36</w:t>
                  </w:r>
                </w:p>
              </w:tc>
              <w:tc>
                <w:tcPr>
                  <w:tcW w:w="332" w:type="pct"/>
                  <w:shd w:val="clear" w:color="auto" w:fill="auto"/>
                  <w:vAlign w:val="center"/>
                </w:tcPr>
                <w:p w14:paraId="148E71F9">
                  <w:pPr>
                    <w:adjustRightInd w:val="0"/>
                    <w:snapToGrid w:val="0"/>
                    <w:jc w:val="center"/>
                    <w:rPr>
                      <w:i/>
                      <w:iCs/>
                      <w:color w:val="auto"/>
                      <w:sz w:val="13"/>
                      <w:szCs w:val="13"/>
                      <w:u w:val="single"/>
                    </w:rPr>
                  </w:pPr>
                  <w:r>
                    <w:rPr>
                      <w:rFonts w:hint="eastAsia"/>
                      <w:i/>
                      <w:iCs/>
                      <w:color w:val="auto"/>
                      <w:sz w:val="13"/>
                      <w:szCs w:val="13"/>
                      <w:u w:val="single"/>
                    </w:rPr>
                    <w:t>1m</w:t>
                  </w:r>
                </w:p>
              </w:tc>
            </w:tr>
            <w:tr w14:paraId="78A9F7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333" w:type="pct"/>
                  <w:vMerge w:val="continue"/>
                </w:tcPr>
                <w:p w14:paraId="76F43C11">
                  <w:pPr>
                    <w:adjustRightInd w:val="0"/>
                    <w:snapToGrid w:val="0"/>
                    <w:jc w:val="center"/>
                    <w:rPr>
                      <w:i/>
                      <w:iCs/>
                      <w:color w:val="auto"/>
                      <w:sz w:val="15"/>
                      <w:szCs w:val="15"/>
                      <w:u w:val="single"/>
                    </w:rPr>
                  </w:pPr>
                </w:p>
              </w:tc>
              <w:tc>
                <w:tcPr>
                  <w:tcW w:w="399" w:type="pct"/>
                  <w:vMerge w:val="continue"/>
                </w:tcPr>
                <w:p w14:paraId="038B1056">
                  <w:pPr>
                    <w:adjustRightInd w:val="0"/>
                    <w:snapToGrid w:val="0"/>
                    <w:jc w:val="center"/>
                    <w:rPr>
                      <w:i/>
                      <w:iCs/>
                      <w:color w:val="auto"/>
                      <w:sz w:val="15"/>
                      <w:szCs w:val="15"/>
                      <w:u w:val="single"/>
                    </w:rPr>
                  </w:pPr>
                </w:p>
              </w:tc>
              <w:tc>
                <w:tcPr>
                  <w:tcW w:w="398" w:type="pct"/>
                  <w:vMerge w:val="continue"/>
                </w:tcPr>
                <w:p w14:paraId="54FAEF90">
                  <w:pPr>
                    <w:adjustRightInd w:val="0"/>
                    <w:snapToGrid w:val="0"/>
                    <w:jc w:val="center"/>
                    <w:rPr>
                      <w:i/>
                      <w:iCs/>
                      <w:color w:val="auto"/>
                      <w:sz w:val="15"/>
                      <w:szCs w:val="15"/>
                      <w:u w:val="single"/>
                    </w:rPr>
                  </w:pPr>
                </w:p>
              </w:tc>
              <w:tc>
                <w:tcPr>
                  <w:tcW w:w="402" w:type="pct"/>
                  <w:vMerge w:val="continue"/>
                </w:tcPr>
                <w:p w14:paraId="3ABDF681">
                  <w:pPr>
                    <w:adjustRightInd w:val="0"/>
                    <w:snapToGrid w:val="0"/>
                    <w:jc w:val="center"/>
                    <w:rPr>
                      <w:i/>
                      <w:iCs/>
                      <w:color w:val="auto"/>
                      <w:sz w:val="15"/>
                      <w:szCs w:val="15"/>
                      <w:u w:val="single"/>
                    </w:rPr>
                  </w:pPr>
                </w:p>
              </w:tc>
              <w:tc>
                <w:tcPr>
                  <w:tcW w:w="251" w:type="pct"/>
                  <w:vMerge w:val="continue"/>
                </w:tcPr>
                <w:p w14:paraId="0A742E75">
                  <w:pPr>
                    <w:adjustRightInd w:val="0"/>
                    <w:snapToGrid w:val="0"/>
                    <w:jc w:val="center"/>
                    <w:rPr>
                      <w:i/>
                      <w:iCs/>
                      <w:color w:val="auto"/>
                      <w:sz w:val="15"/>
                      <w:szCs w:val="15"/>
                      <w:u w:val="single"/>
                    </w:rPr>
                  </w:pPr>
                </w:p>
              </w:tc>
              <w:tc>
                <w:tcPr>
                  <w:tcW w:w="244" w:type="pct"/>
                  <w:vMerge w:val="continue"/>
                </w:tcPr>
                <w:p w14:paraId="0B4C4441">
                  <w:pPr>
                    <w:adjustRightInd w:val="0"/>
                    <w:snapToGrid w:val="0"/>
                    <w:jc w:val="center"/>
                    <w:rPr>
                      <w:i/>
                      <w:iCs/>
                      <w:color w:val="auto"/>
                      <w:sz w:val="15"/>
                      <w:szCs w:val="15"/>
                      <w:u w:val="single"/>
                    </w:rPr>
                  </w:pPr>
                </w:p>
              </w:tc>
              <w:tc>
                <w:tcPr>
                  <w:tcW w:w="309" w:type="pct"/>
                  <w:vMerge w:val="continue"/>
                </w:tcPr>
                <w:p w14:paraId="25098AC8">
                  <w:pPr>
                    <w:adjustRightInd w:val="0"/>
                    <w:snapToGrid w:val="0"/>
                    <w:jc w:val="center"/>
                    <w:rPr>
                      <w:i/>
                      <w:iCs/>
                      <w:color w:val="auto"/>
                      <w:sz w:val="15"/>
                      <w:szCs w:val="15"/>
                      <w:u w:val="single"/>
                    </w:rPr>
                  </w:pPr>
                </w:p>
              </w:tc>
              <w:tc>
                <w:tcPr>
                  <w:tcW w:w="564" w:type="pct"/>
                  <w:shd w:val="clear" w:color="auto" w:fill="auto"/>
                  <w:vAlign w:val="center"/>
                </w:tcPr>
                <w:p w14:paraId="014923CE">
                  <w:pPr>
                    <w:adjustRightInd w:val="0"/>
                    <w:snapToGrid w:val="0"/>
                    <w:jc w:val="center"/>
                    <w:rPr>
                      <w:i/>
                      <w:iCs/>
                      <w:color w:val="auto"/>
                      <w:sz w:val="13"/>
                      <w:szCs w:val="13"/>
                      <w:u w:val="single"/>
                    </w:rPr>
                  </w:pPr>
                  <w:r>
                    <w:rPr>
                      <w:rFonts w:hint="eastAsia"/>
                      <w:i/>
                      <w:iCs/>
                      <w:color w:val="auto"/>
                      <w:sz w:val="13"/>
                      <w:szCs w:val="13"/>
                      <w:u w:val="single"/>
                    </w:rPr>
                    <w:t>南，27m</w:t>
                  </w:r>
                </w:p>
              </w:tc>
              <w:tc>
                <w:tcPr>
                  <w:tcW w:w="489" w:type="pct"/>
                  <w:shd w:val="clear" w:color="auto" w:fill="auto"/>
                  <w:vAlign w:val="center"/>
                </w:tcPr>
                <w:p w14:paraId="437F5CE9">
                  <w:pPr>
                    <w:adjustRightInd w:val="0"/>
                    <w:snapToGrid w:val="0"/>
                    <w:jc w:val="center"/>
                    <w:rPr>
                      <w:i/>
                      <w:iCs/>
                      <w:color w:val="auto"/>
                      <w:sz w:val="13"/>
                      <w:szCs w:val="13"/>
                      <w:u w:val="single"/>
                    </w:rPr>
                  </w:pPr>
                  <w:r>
                    <w:rPr>
                      <w:rFonts w:hint="eastAsia"/>
                      <w:i/>
                      <w:iCs/>
                      <w:color w:val="auto"/>
                      <w:sz w:val="13"/>
                      <w:szCs w:val="13"/>
                      <w:u w:val="single"/>
                    </w:rPr>
                    <w:t>41</w:t>
                  </w:r>
                </w:p>
              </w:tc>
              <w:tc>
                <w:tcPr>
                  <w:tcW w:w="399" w:type="pct"/>
                  <w:vMerge w:val="continue"/>
                </w:tcPr>
                <w:p w14:paraId="591F19AB">
                  <w:pPr>
                    <w:adjustRightInd w:val="0"/>
                    <w:snapToGrid w:val="0"/>
                    <w:jc w:val="center"/>
                    <w:rPr>
                      <w:i/>
                      <w:iCs/>
                      <w:color w:val="auto"/>
                      <w:sz w:val="15"/>
                      <w:szCs w:val="15"/>
                      <w:u w:val="single"/>
                    </w:rPr>
                  </w:pPr>
                </w:p>
              </w:tc>
              <w:tc>
                <w:tcPr>
                  <w:tcW w:w="476" w:type="pct"/>
                  <w:vMerge w:val="continue"/>
                </w:tcPr>
                <w:p w14:paraId="4286DE33">
                  <w:pPr>
                    <w:adjustRightInd w:val="0"/>
                    <w:snapToGrid w:val="0"/>
                    <w:jc w:val="center"/>
                    <w:rPr>
                      <w:i/>
                      <w:iCs/>
                      <w:color w:val="auto"/>
                      <w:sz w:val="15"/>
                      <w:szCs w:val="15"/>
                      <w:u w:val="single"/>
                    </w:rPr>
                  </w:pPr>
                </w:p>
              </w:tc>
              <w:tc>
                <w:tcPr>
                  <w:tcW w:w="398" w:type="pct"/>
                  <w:shd w:val="clear" w:color="auto" w:fill="auto"/>
                  <w:vAlign w:val="center"/>
                </w:tcPr>
                <w:p w14:paraId="2D5A8C41">
                  <w:pPr>
                    <w:adjustRightInd w:val="0"/>
                    <w:snapToGrid w:val="0"/>
                    <w:jc w:val="center"/>
                    <w:rPr>
                      <w:i/>
                      <w:iCs/>
                      <w:color w:val="auto"/>
                      <w:sz w:val="13"/>
                      <w:szCs w:val="13"/>
                      <w:u w:val="single"/>
                    </w:rPr>
                  </w:pPr>
                  <w:r>
                    <w:rPr>
                      <w:rFonts w:hint="eastAsia"/>
                      <w:i/>
                      <w:iCs/>
                      <w:color w:val="auto"/>
                      <w:sz w:val="13"/>
                      <w:szCs w:val="13"/>
                      <w:u w:val="single"/>
                    </w:rPr>
                    <w:t>21</w:t>
                  </w:r>
                </w:p>
              </w:tc>
              <w:tc>
                <w:tcPr>
                  <w:tcW w:w="332" w:type="pct"/>
                  <w:shd w:val="clear" w:color="auto" w:fill="auto"/>
                  <w:vAlign w:val="center"/>
                </w:tcPr>
                <w:p w14:paraId="2197D3B9">
                  <w:pPr>
                    <w:adjustRightInd w:val="0"/>
                    <w:snapToGrid w:val="0"/>
                    <w:jc w:val="center"/>
                    <w:rPr>
                      <w:i/>
                      <w:iCs/>
                      <w:color w:val="auto"/>
                      <w:sz w:val="13"/>
                      <w:szCs w:val="13"/>
                      <w:u w:val="single"/>
                    </w:rPr>
                  </w:pPr>
                  <w:r>
                    <w:rPr>
                      <w:rFonts w:hint="eastAsia"/>
                      <w:i/>
                      <w:iCs/>
                      <w:color w:val="auto"/>
                      <w:sz w:val="13"/>
                      <w:szCs w:val="13"/>
                      <w:u w:val="single"/>
                    </w:rPr>
                    <w:t>1m</w:t>
                  </w:r>
                </w:p>
              </w:tc>
            </w:tr>
            <w:tr w14:paraId="627BEF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333" w:type="pct"/>
                  <w:vMerge w:val="continue"/>
                </w:tcPr>
                <w:p w14:paraId="6BFCFED9">
                  <w:pPr>
                    <w:adjustRightInd w:val="0"/>
                    <w:snapToGrid w:val="0"/>
                    <w:jc w:val="center"/>
                    <w:rPr>
                      <w:i/>
                      <w:iCs/>
                      <w:color w:val="auto"/>
                      <w:sz w:val="15"/>
                      <w:szCs w:val="15"/>
                      <w:u w:val="single"/>
                    </w:rPr>
                  </w:pPr>
                </w:p>
              </w:tc>
              <w:tc>
                <w:tcPr>
                  <w:tcW w:w="399" w:type="pct"/>
                  <w:vMerge w:val="continue"/>
                </w:tcPr>
                <w:p w14:paraId="0A2FF864">
                  <w:pPr>
                    <w:adjustRightInd w:val="0"/>
                    <w:snapToGrid w:val="0"/>
                    <w:jc w:val="center"/>
                    <w:rPr>
                      <w:i/>
                      <w:iCs/>
                      <w:color w:val="auto"/>
                      <w:sz w:val="15"/>
                      <w:szCs w:val="15"/>
                      <w:u w:val="single"/>
                    </w:rPr>
                  </w:pPr>
                </w:p>
              </w:tc>
              <w:tc>
                <w:tcPr>
                  <w:tcW w:w="398" w:type="pct"/>
                  <w:vMerge w:val="continue"/>
                </w:tcPr>
                <w:p w14:paraId="51839230">
                  <w:pPr>
                    <w:adjustRightInd w:val="0"/>
                    <w:snapToGrid w:val="0"/>
                    <w:jc w:val="center"/>
                    <w:rPr>
                      <w:i/>
                      <w:iCs/>
                      <w:color w:val="auto"/>
                      <w:sz w:val="15"/>
                      <w:szCs w:val="15"/>
                      <w:u w:val="single"/>
                    </w:rPr>
                  </w:pPr>
                </w:p>
              </w:tc>
              <w:tc>
                <w:tcPr>
                  <w:tcW w:w="402" w:type="pct"/>
                  <w:vMerge w:val="continue"/>
                </w:tcPr>
                <w:p w14:paraId="76B79296">
                  <w:pPr>
                    <w:adjustRightInd w:val="0"/>
                    <w:snapToGrid w:val="0"/>
                    <w:jc w:val="center"/>
                    <w:rPr>
                      <w:i/>
                      <w:iCs/>
                      <w:color w:val="auto"/>
                      <w:sz w:val="15"/>
                      <w:szCs w:val="15"/>
                      <w:u w:val="single"/>
                    </w:rPr>
                  </w:pPr>
                </w:p>
              </w:tc>
              <w:tc>
                <w:tcPr>
                  <w:tcW w:w="251" w:type="pct"/>
                  <w:vMerge w:val="continue"/>
                </w:tcPr>
                <w:p w14:paraId="5DF532D2">
                  <w:pPr>
                    <w:adjustRightInd w:val="0"/>
                    <w:snapToGrid w:val="0"/>
                    <w:jc w:val="center"/>
                    <w:rPr>
                      <w:i/>
                      <w:iCs/>
                      <w:color w:val="auto"/>
                      <w:sz w:val="15"/>
                      <w:szCs w:val="15"/>
                      <w:u w:val="single"/>
                    </w:rPr>
                  </w:pPr>
                </w:p>
              </w:tc>
              <w:tc>
                <w:tcPr>
                  <w:tcW w:w="244" w:type="pct"/>
                  <w:vMerge w:val="continue"/>
                </w:tcPr>
                <w:p w14:paraId="7181F2C7">
                  <w:pPr>
                    <w:adjustRightInd w:val="0"/>
                    <w:snapToGrid w:val="0"/>
                    <w:jc w:val="center"/>
                    <w:rPr>
                      <w:i/>
                      <w:iCs/>
                      <w:color w:val="auto"/>
                      <w:sz w:val="15"/>
                      <w:szCs w:val="15"/>
                      <w:u w:val="single"/>
                    </w:rPr>
                  </w:pPr>
                </w:p>
              </w:tc>
              <w:tc>
                <w:tcPr>
                  <w:tcW w:w="309" w:type="pct"/>
                  <w:vMerge w:val="continue"/>
                </w:tcPr>
                <w:p w14:paraId="7584737A">
                  <w:pPr>
                    <w:adjustRightInd w:val="0"/>
                    <w:snapToGrid w:val="0"/>
                    <w:jc w:val="center"/>
                    <w:rPr>
                      <w:i/>
                      <w:iCs/>
                      <w:color w:val="auto"/>
                      <w:sz w:val="15"/>
                      <w:szCs w:val="15"/>
                      <w:u w:val="single"/>
                    </w:rPr>
                  </w:pPr>
                </w:p>
              </w:tc>
              <w:tc>
                <w:tcPr>
                  <w:tcW w:w="564" w:type="pct"/>
                  <w:shd w:val="clear" w:color="auto" w:fill="auto"/>
                  <w:vAlign w:val="center"/>
                </w:tcPr>
                <w:p w14:paraId="54DFD86B">
                  <w:pPr>
                    <w:adjustRightInd w:val="0"/>
                    <w:snapToGrid w:val="0"/>
                    <w:jc w:val="center"/>
                    <w:rPr>
                      <w:i/>
                      <w:iCs/>
                      <w:color w:val="auto"/>
                      <w:sz w:val="13"/>
                      <w:szCs w:val="13"/>
                      <w:u w:val="single"/>
                    </w:rPr>
                  </w:pPr>
                  <w:r>
                    <w:rPr>
                      <w:rFonts w:hint="eastAsia"/>
                      <w:i/>
                      <w:iCs/>
                      <w:color w:val="auto"/>
                      <w:sz w:val="13"/>
                      <w:szCs w:val="13"/>
                      <w:u w:val="single"/>
                    </w:rPr>
                    <w:t>西，20m</w:t>
                  </w:r>
                </w:p>
              </w:tc>
              <w:tc>
                <w:tcPr>
                  <w:tcW w:w="489" w:type="pct"/>
                  <w:shd w:val="clear" w:color="auto" w:fill="auto"/>
                  <w:vAlign w:val="center"/>
                </w:tcPr>
                <w:p w14:paraId="561E2CBB">
                  <w:pPr>
                    <w:adjustRightInd w:val="0"/>
                    <w:snapToGrid w:val="0"/>
                    <w:jc w:val="center"/>
                    <w:rPr>
                      <w:i/>
                      <w:iCs/>
                      <w:color w:val="auto"/>
                      <w:sz w:val="13"/>
                      <w:szCs w:val="13"/>
                      <w:u w:val="single"/>
                    </w:rPr>
                  </w:pPr>
                  <w:r>
                    <w:rPr>
                      <w:rFonts w:hint="eastAsia"/>
                      <w:i/>
                      <w:iCs/>
                      <w:color w:val="auto"/>
                      <w:sz w:val="13"/>
                      <w:szCs w:val="13"/>
                      <w:u w:val="single"/>
                    </w:rPr>
                    <w:t>44</w:t>
                  </w:r>
                </w:p>
              </w:tc>
              <w:tc>
                <w:tcPr>
                  <w:tcW w:w="399" w:type="pct"/>
                  <w:vMerge w:val="continue"/>
                </w:tcPr>
                <w:p w14:paraId="654574D5">
                  <w:pPr>
                    <w:adjustRightInd w:val="0"/>
                    <w:snapToGrid w:val="0"/>
                    <w:jc w:val="center"/>
                    <w:rPr>
                      <w:i/>
                      <w:iCs/>
                      <w:color w:val="auto"/>
                      <w:sz w:val="15"/>
                      <w:szCs w:val="15"/>
                      <w:u w:val="single"/>
                    </w:rPr>
                  </w:pPr>
                </w:p>
              </w:tc>
              <w:tc>
                <w:tcPr>
                  <w:tcW w:w="476" w:type="pct"/>
                  <w:vMerge w:val="continue"/>
                </w:tcPr>
                <w:p w14:paraId="7B6AE9A9">
                  <w:pPr>
                    <w:adjustRightInd w:val="0"/>
                    <w:snapToGrid w:val="0"/>
                    <w:jc w:val="center"/>
                    <w:rPr>
                      <w:i/>
                      <w:iCs/>
                      <w:color w:val="auto"/>
                      <w:sz w:val="15"/>
                      <w:szCs w:val="15"/>
                      <w:u w:val="single"/>
                    </w:rPr>
                  </w:pPr>
                </w:p>
              </w:tc>
              <w:tc>
                <w:tcPr>
                  <w:tcW w:w="398" w:type="pct"/>
                  <w:shd w:val="clear" w:color="auto" w:fill="auto"/>
                  <w:vAlign w:val="center"/>
                </w:tcPr>
                <w:p w14:paraId="422EFB1E">
                  <w:pPr>
                    <w:adjustRightInd w:val="0"/>
                    <w:snapToGrid w:val="0"/>
                    <w:jc w:val="center"/>
                    <w:rPr>
                      <w:i/>
                      <w:iCs/>
                      <w:color w:val="auto"/>
                      <w:sz w:val="13"/>
                      <w:szCs w:val="13"/>
                      <w:u w:val="single"/>
                    </w:rPr>
                  </w:pPr>
                  <w:r>
                    <w:rPr>
                      <w:rFonts w:hint="eastAsia"/>
                      <w:i/>
                      <w:iCs/>
                      <w:color w:val="auto"/>
                      <w:sz w:val="13"/>
                      <w:szCs w:val="13"/>
                      <w:u w:val="single"/>
                    </w:rPr>
                    <w:t>24</w:t>
                  </w:r>
                </w:p>
              </w:tc>
              <w:tc>
                <w:tcPr>
                  <w:tcW w:w="332" w:type="pct"/>
                  <w:shd w:val="clear" w:color="auto" w:fill="auto"/>
                  <w:vAlign w:val="center"/>
                </w:tcPr>
                <w:p w14:paraId="7DF72EF2">
                  <w:pPr>
                    <w:adjustRightInd w:val="0"/>
                    <w:snapToGrid w:val="0"/>
                    <w:jc w:val="center"/>
                    <w:rPr>
                      <w:i/>
                      <w:iCs/>
                      <w:color w:val="auto"/>
                      <w:sz w:val="13"/>
                      <w:szCs w:val="13"/>
                      <w:u w:val="single"/>
                    </w:rPr>
                  </w:pPr>
                  <w:r>
                    <w:rPr>
                      <w:rFonts w:hint="eastAsia"/>
                      <w:i/>
                      <w:iCs/>
                      <w:color w:val="auto"/>
                      <w:sz w:val="13"/>
                      <w:szCs w:val="13"/>
                      <w:u w:val="single"/>
                    </w:rPr>
                    <w:t>1m</w:t>
                  </w:r>
                </w:p>
              </w:tc>
            </w:tr>
            <w:tr w14:paraId="4FC5F2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333" w:type="pct"/>
                  <w:vMerge w:val="continue"/>
                </w:tcPr>
                <w:p w14:paraId="4A1BA2E9">
                  <w:pPr>
                    <w:adjustRightInd w:val="0"/>
                    <w:snapToGrid w:val="0"/>
                    <w:jc w:val="center"/>
                    <w:rPr>
                      <w:i/>
                      <w:iCs/>
                      <w:color w:val="auto"/>
                      <w:sz w:val="15"/>
                      <w:szCs w:val="15"/>
                      <w:u w:val="single"/>
                    </w:rPr>
                  </w:pPr>
                </w:p>
              </w:tc>
              <w:tc>
                <w:tcPr>
                  <w:tcW w:w="399" w:type="pct"/>
                  <w:vMerge w:val="continue"/>
                </w:tcPr>
                <w:p w14:paraId="5C5FAD5F">
                  <w:pPr>
                    <w:adjustRightInd w:val="0"/>
                    <w:snapToGrid w:val="0"/>
                    <w:jc w:val="center"/>
                    <w:rPr>
                      <w:i/>
                      <w:iCs/>
                      <w:color w:val="auto"/>
                      <w:sz w:val="15"/>
                      <w:szCs w:val="15"/>
                      <w:u w:val="single"/>
                    </w:rPr>
                  </w:pPr>
                </w:p>
              </w:tc>
              <w:tc>
                <w:tcPr>
                  <w:tcW w:w="398" w:type="pct"/>
                  <w:vMerge w:val="continue"/>
                </w:tcPr>
                <w:p w14:paraId="3EFE1398">
                  <w:pPr>
                    <w:adjustRightInd w:val="0"/>
                    <w:snapToGrid w:val="0"/>
                    <w:jc w:val="center"/>
                    <w:rPr>
                      <w:i/>
                      <w:iCs/>
                      <w:color w:val="auto"/>
                      <w:sz w:val="15"/>
                      <w:szCs w:val="15"/>
                      <w:u w:val="single"/>
                    </w:rPr>
                  </w:pPr>
                </w:p>
              </w:tc>
              <w:tc>
                <w:tcPr>
                  <w:tcW w:w="402" w:type="pct"/>
                  <w:vMerge w:val="continue"/>
                </w:tcPr>
                <w:p w14:paraId="6A012D38">
                  <w:pPr>
                    <w:adjustRightInd w:val="0"/>
                    <w:snapToGrid w:val="0"/>
                    <w:jc w:val="center"/>
                    <w:rPr>
                      <w:i/>
                      <w:iCs/>
                      <w:color w:val="auto"/>
                      <w:sz w:val="15"/>
                      <w:szCs w:val="15"/>
                      <w:u w:val="single"/>
                    </w:rPr>
                  </w:pPr>
                </w:p>
              </w:tc>
              <w:tc>
                <w:tcPr>
                  <w:tcW w:w="251" w:type="pct"/>
                  <w:vMerge w:val="continue"/>
                </w:tcPr>
                <w:p w14:paraId="653B453A">
                  <w:pPr>
                    <w:adjustRightInd w:val="0"/>
                    <w:snapToGrid w:val="0"/>
                    <w:jc w:val="center"/>
                    <w:rPr>
                      <w:i/>
                      <w:iCs/>
                      <w:color w:val="auto"/>
                      <w:sz w:val="15"/>
                      <w:szCs w:val="15"/>
                      <w:u w:val="single"/>
                    </w:rPr>
                  </w:pPr>
                </w:p>
              </w:tc>
              <w:tc>
                <w:tcPr>
                  <w:tcW w:w="244" w:type="pct"/>
                  <w:vMerge w:val="continue"/>
                </w:tcPr>
                <w:p w14:paraId="48320112">
                  <w:pPr>
                    <w:adjustRightInd w:val="0"/>
                    <w:snapToGrid w:val="0"/>
                    <w:jc w:val="center"/>
                    <w:rPr>
                      <w:i/>
                      <w:iCs/>
                      <w:color w:val="auto"/>
                      <w:sz w:val="15"/>
                      <w:szCs w:val="15"/>
                      <w:u w:val="single"/>
                    </w:rPr>
                  </w:pPr>
                </w:p>
              </w:tc>
              <w:tc>
                <w:tcPr>
                  <w:tcW w:w="309" w:type="pct"/>
                  <w:vMerge w:val="continue"/>
                </w:tcPr>
                <w:p w14:paraId="10A654DE">
                  <w:pPr>
                    <w:adjustRightInd w:val="0"/>
                    <w:snapToGrid w:val="0"/>
                    <w:jc w:val="center"/>
                    <w:rPr>
                      <w:i/>
                      <w:iCs/>
                      <w:color w:val="auto"/>
                      <w:sz w:val="15"/>
                      <w:szCs w:val="15"/>
                      <w:u w:val="single"/>
                    </w:rPr>
                  </w:pPr>
                </w:p>
              </w:tc>
              <w:tc>
                <w:tcPr>
                  <w:tcW w:w="564" w:type="pct"/>
                  <w:shd w:val="clear" w:color="auto" w:fill="auto"/>
                  <w:vAlign w:val="center"/>
                </w:tcPr>
                <w:p w14:paraId="4AEB5810">
                  <w:pPr>
                    <w:adjustRightInd w:val="0"/>
                    <w:snapToGrid w:val="0"/>
                    <w:jc w:val="center"/>
                    <w:rPr>
                      <w:i/>
                      <w:iCs/>
                      <w:color w:val="auto"/>
                      <w:sz w:val="13"/>
                      <w:szCs w:val="13"/>
                      <w:u w:val="single"/>
                    </w:rPr>
                  </w:pPr>
                  <w:r>
                    <w:rPr>
                      <w:rFonts w:hint="eastAsia"/>
                      <w:i/>
                      <w:iCs/>
                      <w:color w:val="auto"/>
                      <w:sz w:val="13"/>
                      <w:szCs w:val="13"/>
                      <w:u w:val="single"/>
                    </w:rPr>
                    <w:t>北，3m</w:t>
                  </w:r>
                </w:p>
              </w:tc>
              <w:tc>
                <w:tcPr>
                  <w:tcW w:w="489" w:type="pct"/>
                  <w:shd w:val="clear" w:color="auto" w:fill="auto"/>
                  <w:vAlign w:val="center"/>
                </w:tcPr>
                <w:p w14:paraId="021F5A7E">
                  <w:pPr>
                    <w:adjustRightInd w:val="0"/>
                    <w:snapToGrid w:val="0"/>
                    <w:jc w:val="center"/>
                    <w:rPr>
                      <w:i/>
                      <w:iCs/>
                      <w:color w:val="auto"/>
                      <w:sz w:val="13"/>
                      <w:szCs w:val="13"/>
                      <w:u w:val="single"/>
                    </w:rPr>
                  </w:pPr>
                  <w:r>
                    <w:rPr>
                      <w:rFonts w:hint="eastAsia"/>
                      <w:i/>
                      <w:iCs/>
                      <w:color w:val="auto"/>
                      <w:sz w:val="13"/>
                      <w:szCs w:val="13"/>
                      <w:u w:val="single"/>
                    </w:rPr>
                    <w:t>60</w:t>
                  </w:r>
                </w:p>
              </w:tc>
              <w:tc>
                <w:tcPr>
                  <w:tcW w:w="399" w:type="pct"/>
                  <w:vMerge w:val="continue"/>
                </w:tcPr>
                <w:p w14:paraId="7C40E7D2">
                  <w:pPr>
                    <w:adjustRightInd w:val="0"/>
                    <w:snapToGrid w:val="0"/>
                    <w:jc w:val="center"/>
                    <w:rPr>
                      <w:i/>
                      <w:iCs/>
                      <w:color w:val="auto"/>
                      <w:sz w:val="15"/>
                      <w:szCs w:val="15"/>
                      <w:u w:val="single"/>
                    </w:rPr>
                  </w:pPr>
                </w:p>
              </w:tc>
              <w:tc>
                <w:tcPr>
                  <w:tcW w:w="476" w:type="pct"/>
                  <w:vMerge w:val="continue"/>
                </w:tcPr>
                <w:p w14:paraId="7250F619">
                  <w:pPr>
                    <w:adjustRightInd w:val="0"/>
                    <w:snapToGrid w:val="0"/>
                    <w:jc w:val="center"/>
                    <w:rPr>
                      <w:i/>
                      <w:iCs/>
                      <w:color w:val="auto"/>
                      <w:sz w:val="15"/>
                      <w:szCs w:val="15"/>
                      <w:u w:val="single"/>
                    </w:rPr>
                  </w:pPr>
                </w:p>
              </w:tc>
              <w:tc>
                <w:tcPr>
                  <w:tcW w:w="398" w:type="pct"/>
                  <w:shd w:val="clear" w:color="auto" w:fill="auto"/>
                  <w:vAlign w:val="center"/>
                </w:tcPr>
                <w:p w14:paraId="68CB1FC8">
                  <w:pPr>
                    <w:adjustRightInd w:val="0"/>
                    <w:snapToGrid w:val="0"/>
                    <w:jc w:val="center"/>
                    <w:rPr>
                      <w:i/>
                      <w:iCs/>
                      <w:color w:val="auto"/>
                      <w:sz w:val="13"/>
                      <w:szCs w:val="13"/>
                      <w:u w:val="single"/>
                    </w:rPr>
                  </w:pPr>
                  <w:r>
                    <w:rPr>
                      <w:rFonts w:hint="eastAsia"/>
                      <w:i/>
                      <w:iCs/>
                      <w:color w:val="auto"/>
                      <w:sz w:val="13"/>
                      <w:szCs w:val="13"/>
                      <w:u w:val="single"/>
                    </w:rPr>
                    <w:t>40</w:t>
                  </w:r>
                </w:p>
              </w:tc>
              <w:tc>
                <w:tcPr>
                  <w:tcW w:w="332" w:type="pct"/>
                  <w:shd w:val="clear" w:color="auto" w:fill="auto"/>
                  <w:vAlign w:val="center"/>
                </w:tcPr>
                <w:p w14:paraId="4F7C05F4">
                  <w:pPr>
                    <w:adjustRightInd w:val="0"/>
                    <w:snapToGrid w:val="0"/>
                    <w:jc w:val="center"/>
                    <w:rPr>
                      <w:i/>
                      <w:iCs/>
                      <w:color w:val="auto"/>
                      <w:sz w:val="13"/>
                      <w:szCs w:val="13"/>
                      <w:u w:val="single"/>
                    </w:rPr>
                  </w:pPr>
                  <w:r>
                    <w:rPr>
                      <w:rFonts w:hint="eastAsia"/>
                      <w:i/>
                      <w:iCs/>
                      <w:color w:val="auto"/>
                      <w:sz w:val="13"/>
                      <w:szCs w:val="13"/>
                      <w:u w:val="single"/>
                    </w:rPr>
                    <w:t>1m</w:t>
                  </w:r>
                </w:p>
              </w:tc>
            </w:tr>
          </w:tbl>
          <w:p w14:paraId="5018DB6E">
            <w:pPr>
              <w:ind w:firstLine="200" w:firstLineChars="200"/>
              <w:jc w:val="center"/>
              <w:rPr>
                <w:i/>
                <w:iCs/>
                <w:color w:val="auto"/>
                <w:sz w:val="10"/>
                <w:szCs w:val="10"/>
                <w:u w:val="single"/>
              </w:rPr>
            </w:pPr>
          </w:p>
          <w:p w14:paraId="31AB269B">
            <w:pPr>
              <w:ind w:firstLine="420" w:firstLineChars="200"/>
              <w:jc w:val="center"/>
              <w:rPr>
                <w:i/>
                <w:iCs/>
                <w:color w:val="auto"/>
                <w:u w:val="single"/>
              </w:rPr>
            </w:pPr>
            <w:r>
              <w:rPr>
                <w:i/>
                <w:iCs/>
                <w:color w:val="auto"/>
                <w:u w:val="single"/>
              </w:rPr>
              <w:t>项目主要噪声设备噪声源强一览表</w:t>
            </w:r>
            <w:r>
              <w:rPr>
                <w:rFonts w:hint="eastAsia"/>
                <w:i/>
                <w:iCs/>
                <w:color w:val="auto"/>
                <w:u w:val="single"/>
              </w:rPr>
              <w:t>（室外）</w:t>
            </w:r>
          </w:p>
          <w:tbl>
            <w:tblPr>
              <w:tblStyle w:val="25"/>
              <w:tblW w:w="786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499"/>
              <w:gridCol w:w="514"/>
              <w:gridCol w:w="493"/>
              <w:gridCol w:w="804"/>
              <w:gridCol w:w="1553"/>
              <w:gridCol w:w="964"/>
              <w:gridCol w:w="750"/>
              <w:gridCol w:w="1169"/>
            </w:tblGrid>
            <w:tr w14:paraId="7BCD85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118" w:type="dxa"/>
                  <w:vMerge w:val="restart"/>
                  <w:tcBorders>
                    <w:tl2br w:val="nil"/>
                    <w:tr2bl w:val="nil"/>
                  </w:tcBorders>
                  <w:vAlign w:val="center"/>
                </w:tcPr>
                <w:p w14:paraId="4D8B1984">
                  <w:pPr>
                    <w:adjustRightInd w:val="0"/>
                    <w:snapToGrid w:val="0"/>
                    <w:jc w:val="center"/>
                    <w:rPr>
                      <w:i/>
                      <w:iCs/>
                      <w:color w:val="auto"/>
                      <w:sz w:val="13"/>
                      <w:szCs w:val="13"/>
                      <w:u w:val="single"/>
                    </w:rPr>
                  </w:pPr>
                  <w:r>
                    <w:rPr>
                      <w:rFonts w:hint="eastAsia"/>
                      <w:i/>
                      <w:iCs/>
                      <w:color w:val="auto"/>
                      <w:sz w:val="13"/>
                      <w:szCs w:val="13"/>
                      <w:u w:val="single"/>
                    </w:rPr>
                    <w:t>声源名称</w:t>
                  </w:r>
                </w:p>
              </w:tc>
              <w:tc>
                <w:tcPr>
                  <w:tcW w:w="1506" w:type="dxa"/>
                  <w:gridSpan w:val="3"/>
                  <w:tcBorders>
                    <w:tl2br w:val="nil"/>
                    <w:tr2bl w:val="nil"/>
                  </w:tcBorders>
                  <w:vAlign w:val="center"/>
                </w:tcPr>
                <w:p w14:paraId="3CFD9DD6">
                  <w:pPr>
                    <w:adjustRightInd w:val="0"/>
                    <w:snapToGrid w:val="0"/>
                    <w:jc w:val="center"/>
                    <w:rPr>
                      <w:i/>
                      <w:iCs/>
                      <w:color w:val="auto"/>
                      <w:sz w:val="13"/>
                      <w:szCs w:val="13"/>
                      <w:u w:val="single"/>
                    </w:rPr>
                  </w:pPr>
                  <w:r>
                    <w:rPr>
                      <w:rFonts w:hint="eastAsia"/>
                      <w:i/>
                      <w:iCs/>
                      <w:color w:val="auto"/>
                      <w:sz w:val="13"/>
                      <w:szCs w:val="13"/>
                      <w:u w:val="single"/>
                    </w:rPr>
                    <w:t>空间相对位置/m</w:t>
                  </w:r>
                </w:p>
              </w:tc>
              <w:tc>
                <w:tcPr>
                  <w:tcW w:w="804" w:type="dxa"/>
                  <w:vMerge w:val="restart"/>
                  <w:tcBorders>
                    <w:tl2br w:val="nil"/>
                    <w:tr2bl w:val="nil"/>
                  </w:tcBorders>
                  <w:vAlign w:val="center"/>
                </w:tcPr>
                <w:p w14:paraId="29DA2403">
                  <w:pPr>
                    <w:adjustRightInd w:val="0"/>
                    <w:snapToGrid w:val="0"/>
                    <w:jc w:val="center"/>
                    <w:rPr>
                      <w:i/>
                      <w:iCs/>
                      <w:color w:val="auto"/>
                      <w:sz w:val="13"/>
                      <w:szCs w:val="13"/>
                      <w:u w:val="single"/>
                    </w:rPr>
                  </w:pPr>
                  <w:r>
                    <w:rPr>
                      <w:i/>
                      <w:iCs/>
                      <w:color w:val="auto"/>
                      <w:sz w:val="13"/>
                      <w:szCs w:val="13"/>
                      <w:u w:val="single"/>
                    </w:rPr>
                    <w:t>声功率级/dB（A）</w:t>
                  </w:r>
                </w:p>
              </w:tc>
              <w:tc>
                <w:tcPr>
                  <w:tcW w:w="1553" w:type="dxa"/>
                  <w:vMerge w:val="restart"/>
                  <w:tcBorders>
                    <w:tl2br w:val="nil"/>
                    <w:tr2bl w:val="nil"/>
                  </w:tcBorders>
                  <w:vAlign w:val="center"/>
                </w:tcPr>
                <w:p w14:paraId="7D905EA0">
                  <w:pPr>
                    <w:adjustRightInd w:val="0"/>
                    <w:snapToGrid w:val="0"/>
                    <w:jc w:val="center"/>
                    <w:rPr>
                      <w:i/>
                      <w:iCs/>
                      <w:color w:val="auto"/>
                      <w:sz w:val="13"/>
                      <w:szCs w:val="13"/>
                      <w:u w:val="single"/>
                    </w:rPr>
                  </w:pPr>
                  <w:r>
                    <w:rPr>
                      <w:rFonts w:hint="eastAsia"/>
                      <w:i/>
                      <w:iCs/>
                      <w:color w:val="auto"/>
                      <w:sz w:val="13"/>
                      <w:szCs w:val="13"/>
                      <w:u w:val="single"/>
                    </w:rPr>
                    <w:t>控制措施</w:t>
                  </w:r>
                </w:p>
              </w:tc>
              <w:tc>
                <w:tcPr>
                  <w:tcW w:w="964" w:type="dxa"/>
                  <w:vMerge w:val="restart"/>
                  <w:tcBorders>
                    <w:tl2br w:val="nil"/>
                    <w:tr2bl w:val="nil"/>
                  </w:tcBorders>
                  <w:vAlign w:val="center"/>
                </w:tcPr>
                <w:p w14:paraId="0C212498">
                  <w:pPr>
                    <w:adjustRightInd w:val="0"/>
                    <w:snapToGrid w:val="0"/>
                    <w:jc w:val="center"/>
                    <w:rPr>
                      <w:i/>
                      <w:iCs/>
                      <w:color w:val="auto"/>
                      <w:sz w:val="13"/>
                      <w:szCs w:val="13"/>
                      <w:u w:val="single"/>
                    </w:rPr>
                  </w:pPr>
                  <w:r>
                    <w:rPr>
                      <w:i/>
                      <w:iCs/>
                      <w:color w:val="auto"/>
                      <w:sz w:val="13"/>
                      <w:szCs w:val="13"/>
                      <w:u w:val="single"/>
                    </w:rPr>
                    <w:t>运行时段</w:t>
                  </w:r>
                </w:p>
              </w:tc>
              <w:tc>
                <w:tcPr>
                  <w:tcW w:w="750" w:type="dxa"/>
                  <w:vMerge w:val="restart"/>
                  <w:tcBorders>
                    <w:tl2br w:val="nil"/>
                    <w:tr2bl w:val="nil"/>
                  </w:tcBorders>
                  <w:vAlign w:val="center"/>
                </w:tcPr>
                <w:p w14:paraId="7ECE27F7">
                  <w:pPr>
                    <w:adjustRightInd w:val="0"/>
                    <w:snapToGrid w:val="0"/>
                    <w:jc w:val="center"/>
                    <w:rPr>
                      <w:i/>
                      <w:iCs/>
                      <w:color w:val="auto"/>
                      <w:sz w:val="13"/>
                      <w:szCs w:val="13"/>
                      <w:u w:val="single"/>
                    </w:rPr>
                  </w:pPr>
                  <w:r>
                    <w:rPr>
                      <w:rFonts w:hint="eastAsia"/>
                      <w:i/>
                      <w:iCs/>
                      <w:color w:val="auto"/>
                      <w:sz w:val="13"/>
                      <w:szCs w:val="13"/>
                      <w:u w:val="single"/>
                    </w:rPr>
                    <w:t>距厂界距离/m</w:t>
                  </w:r>
                </w:p>
              </w:tc>
              <w:tc>
                <w:tcPr>
                  <w:tcW w:w="1169" w:type="dxa"/>
                  <w:vMerge w:val="restart"/>
                  <w:tcBorders>
                    <w:tl2br w:val="nil"/>
                    <w:tr2bl w:val="nil"/>
                  </w:tcBorders>
                  <w:vAlign w:val="center"/>
                </w:tcPr>
                <w:p w14:paraId="11A9B292">
                  <w:pPr>
                    <w:adjustRightInd w:val="0"/>
                    <w:snapToGrid w:val="0"/>
                    <w:jc w:val="center"/>
                    <w:rPr>
                      <w:i/>
                      <w:iCs/>
                      <w:color w:val="auto"/>
                      <w:sz w:val="13"/>
                      <w:szCs w:val="13"/>
                      <w:u w:val="single"/>
                    </w:rPr>
                  </w:pPr>
                  <w:r>
                    <w:rPr>
                      <w:rFonts w:hint="eastAsia"/>
                      <w:i/>
                      <w:iCs/>
                      <w:color w:val="auto"/>
                      <w:sz w:val="13"/>
                      <w:szCs w:val="13"/>
                      <w:u w:val="single"/>
                    </w:rPr>
                    <w:t>厂界处</w:t>
                  </w:r>
                </w:p>
                <w:p w14:paraId="7DC134AE">
                  <w:pPr>
                    <w:adjustRightInd w:val="0"/>
                    <w:snapToGrid w:val="0"/>
                    <w:jc w:val="center"/>
                    <w:rPr>
                      <w:i/>
                      <w:iCs/>
                      <w:color w:val="auto"/>
                      <w:sz w:val="13"/>
                      <w:szCs w:val="13"/>
                      <w:u w:val="single"/>
                    </w:rPr>
                  </w:pPr>
                  <w:r>
                    <w:rPr>
                      <w:i/>
                      <w:iCs/>
                      <w:color w:val="auto"/>
                      <w:sz w:val="13"/>
                      <w:szCs w:val="13"/>
                      <w:u w:val="single"/>
                    </w:rPr>
                    <w:t>声压级/dB（A</w:t>
                  </w:r>
                </w:p>
              </w:tc>
            </w:tr>
            <w:tr w14:paraId="02773F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8" w:type="dxa"/>
                  <w:vMerge w:val="continue"/>
                  <w:tcBorders>
                    <w:tl2br w:val="nil"/>
                    <w:tr2bl w:val="nil"/>
                  </w:tcBorders>
                  <w:vAlign w:val="center"/>
                </w:tcPr>
                <w:p w14:paraId="560D8D0F">
                  <w:pPr>
                    <w:adjustRightInd w:val="0"/>
                    <w:snapToGrid w:val="0"/>
                    <w:jc w:val="center"/>
                    <w:rPr>
                      <w:i/>
                      <w:iCs/>
                      <w:color w:val="auto"/>
                      <w:sz w:val="13"/>
                      <w:szCs w:val="13"/>
                      <w:u w:val="single"/>
                    </w:rPr>
                  </w:pPr>
                </w:p>
              </w:tc>
              <w:tc>
                <w:tcPr>
                  <w:tcW w:w="499" w:type="dxa"/>
                  <w:tcBorders>
                    <w:tl2br w:val="nil"/>
                    <w:tr2bl w:val="nil"/>
                  </w:tcBorders>
                  <w:vAlign w:val="center"/>
                </w:tcPr>
                <w:p w14:paraId="00AE4A78">
                  <w:pPr>
                    <w:adjustRightInd w:val="0"/>
                    <w:snapToGrid w:val="0"/>
                    <w:jc w:val="center"/>
                    <w:rPr>
                      <w:i/>
                      <w:iCs/>
                      <w:color w:val="auto"/>
                      <w:sz w:val="13"/>
                      <w:szCs w:val="13"/>
                      <w:u w:val="single"/>
                    </w:rPr>
                  </w:pPr>
                  <w:r>
                    <w:rPr>
                      <w:rFonts w:hint="eastAsia"/>
                      <w:i/>
                      <w:iCs/>
                      <w:color w:val="auto"/>
                      <w:sz w:val="13"/>
                      <w:szCs w:val="13"/>
                      <w:u w:val="single"/>
                    </w:rPr>
                    <w:t>X</w:t>
                  </w:r>
                </w:p>
              </w:tc>
              <w:tc>
                <w:tcPr>
                  <w:tcW w:w="514" w:type="dxa"/>
                  <w:tcBorders>
                    <w:tl2br w:val="nil"/>
                    <w:tr2bl w:val="nil"/>
                  </w:tcBorders>
                  <w:vAlign w:val="center"/>
                </w:tcPr>
                <w:p w14:paraId="4BF637EC">
                  <w:pPr>
                    <w:adjustRightInd w:val="0"/>
                    <w:snapToGrid w:val="0"/>
                    <w:jc w:val="center"/>
                    <w:rPr>
                      <w:i/>
                      <w:iCs/>
                      <w:color w:val="auto"/>
                      <w:sz w:val="13"/>
                      <w:szCs w:val="13"/>
                      <w:u w:val="single"/>
                    </w:rPr>
                  </w:pPr>
                  <w:r>
                    <w:rPr>
                      <w:rFonts w:hint="eastAsia"/>
                      <w:i/>
                      <w:iCs/>
                      <w:color w:val="auto"/>
                      <w:sz w:val="13"/>
                      <w:szCs w:val="13"/>
                      <w:u w:val="single"/>
                    </w:rPr>
                    <w:t>Y</w:t>
                  </w:r>
                </w:p>
              </w:tc>
              <w:tc>
                <w:tcPr>
                  <w:tcW w:w="493" w:type="dxa"/>
                  <w:tcBorders>
                    <w:tl2br w:val="nil"/>
                    <w:tr2bl w:val="nil"/>
                  </w:tcBorders>
                  <w:vAlign w:val="center"/>
                </w:tcPr>
                <w:p w14:paraId="660A5135">
                  <w:pPr>
                    <w:adjustRightInd w:val="0"/>
                    <w:snapToGrid w:val="0"/>
                    <w:jc w:val="center"/>
                    <w:rPr>
                      <w:i/>
                      <w:iCs/>
                      <w:color w:val="auto"/>
                      <w:sz w:val="13"/>
                      <w:szCs w:val="13"/>
                      <w:u w:val="single"/>
                    </w:rPr>
                  </w:pPr>
                  <w:r>
                    <w:rPr>
                      <w:rFonts w:hint="eastAsia"/>
                      <w:i/>
                      <w:iCs/>
                      <w:color w:val="auto"/>
                      <w:sz w:val="13"/>
                      <w:szCs w:val="13"/>
                      <w:u w:val="single"/>
                    </w:rPr>
                    <w:t>Z</w:t>
                  </w:r>
                </w:p>
              </w:tc>
              <w:tc>
                <w:tcPr>
                  <w:tcW w:w="804" w:type="dxa"/>
                  <w:vMerge w:val="continue"/>
                  <w:tcBorders>
                    <w:tl2br w:val="nil"/>
                    <w:tr2bl w:val="nil"/>
                  </w:tcBorders>
                  <w:vAlign w:val="center"/>
                </w:tcPr>
                <w:p w14:paraId="4ECEE9A8">
                  <w:pPr>
                    <w:adjustRightInd w:val="0"/>
                    <w:snapToGrid w:val="0"/>
                    <w:jc w:val="center"/>
                    <w:rPr>
                      <w:i/>
                      <w:iCs/>
                      <w:color w:val="auto"/>
                      <w:sz w:val="13"/>
                      <w:szCs w:val="13"/>
                      <w:u w:val="single"/>
                    </w:rPr>
                  </w:pPr>
                </w:p>
              </w:tc>
              <w:tc>
                <w:tcPr>
                  <w:tcW w:w="1553" w:type="dxa"/>
                  <w:vMerge w:val="continue"/>
                  <w:tcBorders>
                    <w:tl2br w:val="nil"/>
                    <w:tr2bl w:val="nil"/>
                  </w:tcBorders>
                  <w:vAlign w:val="center"/>
                </w:tcPr>
                <w:p w14:paraId="46817E50">
                  <w:pPr>
                    <w:adjustRightInd w:val="0"/>
                    <w:snapToGrid w:val="0"/>
                    <w:jc w:val="center"/>
                    <w:rPr>
                      <w:i/>
                      <w:iCs/>
                      <w:color w:val="auto"/>
                      <w:sz w:val="13"/>
                      <w:szCs w:val="13"/>
                      <w:u w:val="single"/>
                    </w:rPr>
                  </w:pPr>
                </w:p>
              </w:tc>
              <w:tc>
                <w:tcPr>
                  <w:tcW w:w="964" w:type="dxa"/>
                  <w:vMerge w:val="continue"/>
                  <w:tcBorders>
                    <w:tl2br w:val="nil"/>
                    <w:tr2bl w:val="nil"/>
                  </w:tcBorders>
                  <w:vAlign w:val="center"/>
                </w:tcPr>
                <w:p w14:paraId="6B4E0D56">
                  <w:pPr>
                    <w:adjustRightInd w:val="0"/>
                    <w:snapToGrid w:val="0"/>
                    <w:jc w:val="center"/>
                    <w:rPr>
                      <w:i/>
                      <w:iCs/>
                      <w:color w:val="auto"/>
                      <w:sz w:val="13"/>
                      <w:szCs w:val="13"/>
                      <w:u w:val="single"/>
                    </w:rPr>
                  </w:pPr>
                </w:p>
              </w:tc>
              <w:tc>
                <w:tcPr>
                  <w:tcW w:w="750" w:type="dxa"/>
                  <w:vMerge w:val="continue"/>
                  <w:tcBorders>
                    <w:tl2br w:val="nil"/>
                    <w:tr2bl w:val="nil"/>
                  </w:tcBorders>
                  <w:vAlign w:val="center"/>
                </w:tcPr>
                <w:p w14:paraId="25D59A61">
                  <w:pPr>
                    <w:adjustRightInd w:val="0"/>
                    <w:snapToGrid w:val="0"/>
                    <w:jc w:val="center"/>
                    <w:rPr>
                      <w:i/>
                      <w:iCs/>
                      <w:color w:val="auto"/>
                      <w:sz w:val="13"/>
                      <w:szCs w:val="13"/>
                      <w:u w:val="single"/>
                    </w:rPr>
                  </w:pPr>
                </w:p>
              </w:tc>
              <w:tc>
                <w:tcPr>
                  <w:tcW w:w="1169" w:type="dxa"/>
                  <w:vMerge w:val="continue"/>
                  <w:tcBorders>
                    <w:tl2br w:val="nil"/>
                    <w:tr2bl w:val="nil"/>
                  </w:tcBorders>
                  <w:vAlign w:val="center"/>
                </w:tcPr>
                <w:p w14:paraId="3E5D8F3F">
                  <w:pPr>
                    <w:adjustRightInd w:val="0"/>
                    <w:snapToGrid w:val="0"/>
                    <w:jc w:val="center"/>
                    <w:rPr>
                      <w:i/>
                      <w:iCs/>
                      <w:color w:val="auto"/>
                      <w:sz w:val="13"/>
                      <w:szCs w:val="13"/>
                      <w:u w:val="single"/>
                    </w:rPr>
                  </w:pPr>
                </w:p>
              </w:tc>
            </w:tr>
            <w:tr w14:paraId="5C45DC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1118" w:type="dxa"/>
                  <w:vMerge w:val="restart"/>
                  <w:tcBorders>
                    <w:tl2br w:val="nil"/>
                    <w:tr2bl w:val="nil"/>
                  </w:tcBorders>
                  <w:vAlign w:val="center"/>
                </w:tcPr>
                <w:p w14:paraId="7E518FFC">
                  <w:pPr>
                    <w:adjustRightInd w:val="0"/>
                    <w:snapToGrid w:val="0"/>
                    <w:jc w:val="center"/>
                    <w:rPr>
                      <w:i/>
                      <w:iCs/>
                      <w:color w:val="auto"/>
                      <w:sz w:val="13"/>
                      <w:szCs w:val="13"/>
                      <w:u w:val="single"/>
                    </w:rPr>
                  </w:pPr>
                  <w:r>
                    <w:rPr>
                      <w:rFonts w:hint="eastAsia"/>
                      <w:i/>
                      <w:iCs/>
                      <w:color w:val="auto"/>
                      <w:sz w:val="13"/>
                      <w:szCs w:val="13"/>
                      <w:u w:val="single"/>
                    </w:rPr>
                    <w:t>履带式压滤机</w:t>
                  </w:r>
                </w:p>
              </w:tc>
              <w:tc>
                <w:tcPr>
                  <w:tcW w:w="499" w:type="dxa"/>
                  <w:vMerge w:val="restart"/>
                  <w:tcBorders>
                    <w:tl2br w:val="nil"/>
                    <w:tr2bl w:val="nil"/>
                  </w:tcBorders>
                  <w:vAlign w:val="center"/>
                </w:tcPr>
                <w:p w14:paraId="1D69E5B9">
                  <w:pPr>
                    <w:adjustRightInd w:val="0"/>
                    <w:snapToGrid w:val="0"/>
                    <w:jc w:val="center"/>
                    <w:rPr>
                      <w:i/>
                      <w:iCs/>
                      <w:color w:val="auto"/>
                      <w:sz w:val="13"/>
                      <w:szCs w:val="13"/>
                      <w:u w:val="single"/>
                    </w:rPr>
                  </w:pPr>
                  <w:r>
                    <w:rPr>
                      <w:rFonts w:hint="eastAsia"/>
                      <w:i/>
                      <w:iCs/>
                      <w:color w:val="auto"/>
                      <w:sz w:val="13"/>
                      <w:szCs w:val="13"/>
                      <w:u w:val="single"/>
                    </w:rPr>
                    <w:t>80</w:t>
                  </w:r>
                </w:p>
              </w:tc>
              <w:tc>
                <w:tcPr>
                  <w:tcW w:w="514" w:type="dxa"/>
                  <w:vMerge w:val="restart"/>
                  <w:tcBorders>
                    <w:tl2br w:val="nil"/>
                    <w:tr2bl w:val="nil"/>
                  </w:tcBorders>
                  <w:vAlign w:val="center"/>
                </w:tcPr>
                <w:p w14:paraId="387B5663">
                  <w:pPr>
                    <w:adjustRightInd w:val="0"/>
                    <w:snapToGrid w:val="0"/>
                    <w:jc w:val="center"/>
                    <w:rPr>
                      <w:i/>
                      <w:iCs/>
                      <w:color w:val="auto"/>
                      <w:sz w:val="13"/>
                      <w:szCs w:val="13"/>
                      <w:u w:val="single"/>
                    </w:rPr>
                  </w:pPr>
                  <w:r>
                    <w:rPr>
                      <w:rFonts w:hint="eastAsia"/>
                      <w:i/>
                      <w:iCs/>
                      <w:color w:val="auto"/>
                      <w:sz w:val="13"/>
                      <w:szCs w:val="13"/>
                      <w:u w:val="single"/>
                    </w:rPr>
                    <w:t>103</w:t>
                  </w:r>
                </w:p>
              </w:tc>
              <w:tc>
                <w:tcPr>
                  <w:tcW w:w="493" w:type="dxa"/>
                  <w:vMerge w:val="restart"/>
                  <w:tcBorders>
                    <w:tl2br w:val="nil"/>
                    <w:tr2bl w:val="nil"/>
                  </w:tcBorders>
                  <w:vAlign w:val="center"/>
                </w:tcPr>
                <w:p w14:paraId="7A2141C7">
                  <w:pPr>
                    <w:adjustRightInd w:val="0"/>
                    <w:snapToGrid w:val="0"/>
                    <w:jc w:val="center"/>
                    <w:rPr>
                      <w:i/>
                      <w:iCs/>
                      <w:color w:val="auto"/>
                      <w:sz w:val="13"/>
                      <w:szCs w:val="13"/>
                      <w:u w:val="single"/>
                    </w:rPr>
                  </w:pPr>
                  <w:r>
                    <w:rPr>
                      <w:rFonts w:hint="eastAsia"/>
                      <w:i/>
                      <w:iCs/>
                      <w:color w:val="auto"/>
                      <w:sz w:val="13"/>
                      <w:szCs w:val="13"/>
                      <w:u w:val="single"/>
                    </w:rPr>
                    <w:t>2</w:t>
                  </w:r>
                </w:p>
              </w:tc>
              <w:tc>
                <w:tcPr>
                  <w:tcW w:w="804" w:type="dxa"/>
                  <w:vMerge w:val="restart"/>
                  <w:tcBorders>
                    <w:tl2br w:val="nil"/>
                    <w:tr2bl w:val="nil"/>
                  </w:tcBorders>
                  <w:vAlign w:val="center"/>
                </w:tcPr>
                <w:p w14:paraId="51C25B4C">
                  <w:pPr>
                    <w:adjustRightInd w:val="0"/>
                    <w:snapToGrid w:val="0"/>
                    <w:jc w:val="center"/>
                    <w:rPr>
                      <w:i/>
                      <w:iCs/>
                      <w:color w:val="auto"/>
                      <w:sz w:val="13"/>
                      <w:szCs w:val="13"/>
                      <w:u w:val="single"/>
                    </w:rPr>
                  </w:pPr>
                  <w:r>
                    <w:rPr>
                      <w:rFonts w:hint="eastAsia"/>
                      <w:i/>
                      <w:iCs/>
                      <w:color w:val="auto"/>
                      <w:sz w:val="13"/>
                      <w:szCs w:val="13"/>
                      <w:u w:val="single"/>
                    </w:rPr>
                    <w:t>55</w:t>
                  </w:r>
                </w:p>
              </w:tc>
              <w:tc>
                <w:tcPr>
                  <w:tcW w:w="1553" w:type="dxa"/>
                  <w:vMerge w:val="restart"/>
                  <w:tcBorders>
                    <w:tl2br w:val="nil"/>
                    <w:tr2bl w:val="nil"/>
                  </w:tcBorders>
                  <w:vAlign w:val="center"/>
                </w:tcPr>
                <w:p w14:paraId="6DBBAEC7">
                  <w:pPr>
                    <w:adjustRightInd w:val="0"/>
                    <w:snapToGrid w:val="0"/>
                    <w:jc w:val="center"/>
                    <w:rPr>
                      <w:i/>
                      <w:iCs/>
                      <w:color w:val="auto"/>
                      <w:sz w:val="13"/>
                      <w:szCs w:val="13"/>
                      <w:u w:val="single"/>
                    </w:rPr>
                  </w:pPr>
                  <w:r>
                    <w:rPr>
                      <w:rFonts w:hint="eastAsia"/>
                      <w:i/>
                      <w:iCs/>
                      <w:color w:val="auto"/>
                      <w:sz w:val="13"/>
                      <w:szCs w:val="13"/>
                      <w:u w:val="single"/>
                    </w:rPr>
                    <w:t>电机隔声罩</w:t>
                  </w:r>
                </w:p>
              </w:tc>
              <w:tc>
                <w:tcPr>
                  <w:tcW w:w="964" w:type="dxa"/>
                  <w:vMerge w:val="restart"/>
                  <w:tcBorders>
                    <w:tl2br w:val="nil"/>
                    <w:tr2bl w:val="nil"/>
                  </w:tcBorders>
                  <w:vAlign w:val="center"/>
                </w:tcPr>
                <w:p w14:paraId="3CE7E98A">
                  <w:pPr>
                    <w:adjustRightInd w:val="0"/>
                    <w:snapToGrid w:val="0"/>
                    <w:jc w:val="center"/>
                    <w:rPr>
                      <w:i/>
                      <w:iCs/>
                      <w:color w:val="auto"/>
                      <w:sz w:val="13"/>
                      <w:szCs w:val="13"/>
                      <w:u w:val="single"/>
                    </w:rPr>
                  </w:pPr>
                  <w:r>
                    <w:rPr>
                      <w:rFonts w:hint="eastAsia"/>
                      <w:i/>
                      <w:iCs/>
                      <w:color w:val="auto"/>
                      <w:sz w:val="13"/>
                      <w:szCs w:val="13"/>
                      <w:u w:val="single"/>
                    </w:rPr>
                    <w:t>16h/d</w:t>
                  </w:r>
                </w:p>
              </w:tc>
              <w:tc>
                <w:tcPr>
                  <w:tcW w:w="750" w:type="dxa"/>
                  <w:tcBorders>
                    <w:tl2br w:val="nil"/>
                    <w:tr2bl w:val="nil"/>
                  </w:tcBorders>
                  <w:shd w:val="clear" w:color="auto" w:fill="auto"/>
                  <w:vAlign w:val="center"/>
                </w:tcPr>
                <w:p w14:paraId="09724864">
                  <w:pPr>
                    <w:adjustRightInd w:val="0"/>
                    <w:snapToGrid w:val="0"/>
                    <w:jc w:val="center"/>
                    <w:rPr>
                      <w:i/>
                      <w:iCs/>
                      <w:color w:val="auto"/>
                      <w:sz w:val="13"/>
                      <w:szCs w:val="13"/>
                      <w:u w:val="single"/>
                    </w:rPr>
                  </w:pPr>
                  <w:r>
                    <w:rPr>
                      <w:rFonts w:hint="eastAsia"/>
                      <w:i/>
                      <w:iCs/>
                      <w:color w:val="auto"/>
                      <w:sz w:val="13"/>
                      <w:szCs w:val="13"/>
                      <w:u w:val="single"/>
                    </w:rPr>
                    <w:t>东，47m</w:t>
                  </w:r>
                </w:p>
              </w:tc>
              <w:tc>
                <w:tcPr>
                  <w:tcW w:w="1169" w:type="dxa"/>
                  <w:tcBorders>
                    <w:tl2br w:val="nil"/>
                    <w:tr2bl w:val="nil"/>
                  </w:tcBorders>
                  <w:vAlign w:val="center"/>
                </w:tcPr>
                <w:p w14:paraId="3EF8345D">
                  <w:pPr>
                    <w:adjustRightInd w:val="0"/>
                    <w:snapToGrid w:val="0"/>
                    <w:jc w:val="center"/>
                    <w:rPr>
                      <w:i/>
                      <w:iCs/>
                      <w:color w:val="auto"/>
                      <w:sz w:val="13"/>
                      <w:szCs w:val="13"/>
                      <w:u w:val="single"/>
                    </w:rPr>
                  </w:pPr>
                  <w:r>
                    <w:rPr>
                      <w:rFonts w:hint="eastAsia"/>
                      <w:i/>
                      <w:iCs/>
                      <w:color w:val="auto"/>
                      <w:sz w:val="13"/>
                      <w:szCs w:val="13"/>
                      <w:u w:val="single"/>
                    </w:rPr>
                    <w:t>22</w:t>
                  </w:r>
                </w:p>
              </w:tc>
            </w:tr>
            <w:tr w14:paraId="268358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118" w:type="dxa"/>
                  <w:vMerge w:val="continue"/>
                  <w:tcBorders>
                    <w:tl2br w:val="nil"/>
                    <w:tr2bl w:val="nil"/>
                  </w:tcBorders>
                  <w:vAlign w:val="center"/>
                </w:tcPr>
                <w:p w14:paraId="3DFEA250">
                  <w:pPr>
                    <w:adjustRightInd w:val="0"/>
                    <w:snapToGrid w:val="0"/>
                    <w:jc w:val="center"/>
                    <w:rPr>
                      <w:i/>
                      <w:iCs/>
                      <w:color w:val="auto"/>
                      <w:sz w:val="13"/>
                      <w:szCs w:val="13"/>
                      <w:u w:val="single"/>
                    </w:rPr>
                  </w:pPr>
                </w:p>
              </w:tc>
              <w:tc>
                <w:tcPr>
                  <w:tcW w:w="499" w:type="dxa"/>
                  <w:vMerge w:val="continue"/>
                  <w:tcBorders>
                    <w:tl2br w:val="nil"/>
                    <w:tr2bl w:val="nil"/>
                  </w:tcBorders>
                  <w:vAlign w:val="center"/>
                </w:tcPr>
                <w:p w14:paraId="6AA1BF29">
                  <w:pPr>
                    <w:adjustRightInd w:val="0"/>
                    <w:snapToGrid w:val="0"/>
                    <w:jc w:val="center"/>
                    <w:rPr>
                      <w:i/>
                      <w:iCs/>
                      <w:color w:val="auto"/>
                      <w:sz w:val="13"/>
                      <w:szCs w:val="13"/>
                      <w:u w:val="single"/>
                    </w:rPr>
                  </w:pPr>
                </w:p>
              </w:tc>
              <w:tc>
                <w:tcPr>
                  <w:tcW w:w="514" w:type="dxa"/>
                  <w:vMerge w:val="continue"/>
                  <w:tcBorders>
                    <w:tl2br w:val="nil"/>
                    <w:tr2bl w:val="nil"/>
                  </w:tcBorders>
                  <w:vAlign w:val="center"/>
                </w:tcPr>
                <w:p w14:paraId="7C7F96CB">
                  <w:pPr>
                    <w:adjustRightInd w:val="0"/>
                    <w:snapToGrid w:val="0"/>
                    <w:jc w:val="center"/>
                    <w:rPr>
                      <w:i/>
                      <w:iCs/>
                      <w:color w:val="auto"/>
                      <w:sz w:val="13"/>
                      <w:szCs w:val="13"/>
                      <w:u w:val="single"/>
                    </w:rPr>
                  </w:pPr>
                </w:p>
              </w:tc>
              <w:tc>
                <w:tcPr>
                  <w:tcW w:w="493" w:type="dxa"/>
                  <w:vMerge w:val="continue"/>
                  <w:tcBorders>
                    <w:tl2br w:val="nil"/>
                    <w:tr2bl w:val="nil"/>
                  </w:tcBorders>
                  <w:vAlign w:val="center"/>
                </w:tcPr>
                <w:p w14:paraId="6DD013D3">
                  <w:pPr>
                    <w:adjustRightInd w:val="0"/>
                    <w:snapToGrid w:val="0"/>
                    <w:jc w:val="center"/>
                    <w:rPr>
                      <w:i/>
                      <w:iCs/>
                      <w:color w:val="auto"/>
                      <w:sz w:val="13"/>
                      <w:szCs w:val="13"/>
                      <w:u w:val="single"/>
                    </w:rPr>
                  </w:pPr>
                </w:p>
              </w:tc>
              <w:tc>
                <w:tcPr>
                  <w:tcW w:w="804" w:type="dxa"/>
                  <w:vMerge w:val="continue"/>
                  <w:tcBorders>
                    <w:tl2br w:val="nil"/>
                    <w:tr2bl w:val="nil"/>
                  </w:tcBorders>
                  <w:vAlign w:val="center"/>
                </w:tcPr>
                <w:p w14:paraId="064F18D9">
                  <w:pPr>
                    <w:adjustRightInd w:val="0"/>
                    <w:snapToGrid w:val="0"/>
                    <w:jc w:val="center"/>
                    <w:rPr>
                      <w:i/>
                      <w:iCs/>
                      <w:color w:val="auto"/>
                      <w:sz w:val="13"/>
                      <w:szCs w:val="13"/>
                      <w:u w:val="single"/>
                    </w:rPr>
                  </w:pPr>
                </w:p>
              </w:tc>
              <w:tc>
                <w:tcPr>
                  <w:tcW w:w="1553" w:type="dxa"/>
                  <w:vMerge w:val="continue"/>
                  <w:tcBorders>
                    <w:tl2br w:val="nil"/>
                    <w:tr2bl w:val="nil"/>
                  </w:tcBorders>
                  <w:vAlign w:val="center"/>
                </w:tcPr>
                <w:p w14:paraId="23A59B96">
                  <w:pPr>
                    <w:adjustRightInd w:val="0"/>
                    <w:snapToGrid w:val="0"/>
                    <w:jc w:val="center"/>
                    <w:rPr>
                      <w:i/>
                      <w:iCs/>
                      <w:color w:val="auto"/>
                      <w:sz w:val="13"/>
                      <w:szCs w:val="13"/>
                      <w:u w:val="single"/>
                    </w:rPr>
                  </w:pPr>
                </w:p>
              </w:tc>
              <w:tc>
                <w:tcPr>
                  <w:tcW w:w="964" w:type="dxa"/>
                  <w:vMerge w:val="continue"/>
                  <w:tcBorders>
                    <w:tl2br w:val="nil"/>
                    <w:tr2bl w:val="nil"/>
                  </w:tcBorders>
                  <w:vAlign w:val="center"/>
                </w:tcPr>
                <w:p w14:paraId="5222D2AA">
                  <w:pPr>
                    <w:adjustRightInd w:val="0"/>
                    <w:snapToGrid w:val="0"/>
                    <w:jc w:val="center"/>
                    <w:rPr>
                      <w:i/>
                      <w:iCs/>
                      <w:color w:val="auto"/>
                      <w:sz w:val="13"/>
                      <w:szCs w:val="13"/>
                      <w:u w:val="single"/>
                    </w:rPr>
                  </w:pPr>
                </w:p>
              </w:tc>
              <w:tc>
                <w:tcPr>
                  <w:tcW w:w="750" w:type="dxa"/>
                  <w:tcBorders>
                    <w:tl2br w:val="nil"/>
                    <w:tr2bl w:val="nil"/>
                  </w:tcBorders>
                  <w:shd w:val="clear" w:color="auto" w:fill="auto"/>
                  <w:vAlign w:val="center"/>
                </w:tcPr>
                <w:p w14:paraId="5C2BA96D">
                  <w:pPr>
                    <w:adjustRightInd w:val="0"/>
                    <w:snapToGrid w:val="0"/>
                    <w:jc w:val="center"/>
                    <w:rPr>
                      <w:i/>
                      <w:iCs/>
                      <w:color w:val="auto"/>
                      <w:sz w:val="13"/>
                      <w:szCs w:val="13"/>
                      <w:u w:val="single"/>
                    </w:rPr>
                  </w:pPr>
                  <w:r>
                    <w:rPr>
                      <w:rFonts w:hint="eastAsia"/>
                      <w:i/>
                      <w:iCs/>
                      <w:color w:val="auto"/>
                      <w:sz w:val="13"/>
                      <w:szCs w:val="13"/>
                      <w:u w:val="single"/>
                    </w:rPr>
                    <w:t>南，44m</w:t>
                  </w:r>
                </w:p>
              </w:tc>
              <w:tc>
                <w:tcPr>
                  <w:tcW w:w="1169" w:type="dxa"/>
                  <w:tcBorders>
                    <w:tl2br w:val="nil"/>
                    <w:tr2bl w:val="nil"/>
                  </w:tcBorders>
                  <w:vAlign w:val="center"/>
                </w:tcPr>
                <w:p w14:paraId="2D1F318B">
                  <w:pPr>
                    <w:adjustRightInd w:val="0"/>
                    <w:snapToGrid w:val="0"/>
                    <w:jc w:val="center"/>
                    <w:rPr>
                      <w:i/>
                      <w:iCs/>
                      <w:color w:val="auto"/>
                      <w:sz w:val="13"/>
                      <w:szCs w:val="13"/>
                      <w:u w:val="single"/>
                    </w:rPr>
                  </w:pPr>
                  <w:r>
                    <w:rPr>
                      <w:rFonts w:hint="eastAsia"/>
                      <w:i/>
                      <w:iCs/>
                      <w:color w:val="auto"/>
                      <w:sz w:val="13"/>
                      <w:szCs w:val="13"/>
                      <w:u w:val="single"/>
                    </w:rPr>
                    <w:t>22</w:t>
                  </w:r>
                </w:p>
              </w:tc>
            </w:tr>
            <w:tr w14:paraId="4E5B87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118" w:type="dxa"/>
                  <w:vMerge w:val="continue"/>
                  <w:tcBorders>
                    <w:tl2br w:val="nil"/>
                    <w:tr2bl w:val="nil"/>
                  </w:tcBorders>
                  <w:vAlign w:val="center"/>
                </w:tcPr>
                <w:p w14:paraId="79A45463">
                  <w:pPr>
                    <w:adjustRightInd w:val="0"/>
                    <w:snapToGrid w:val="0"/>
                    <w:jc w:val="center"/>
                    <w:rPr>
                      <w:i/>
                      <w:iCs/>
                      <w:color w:val="auto"/>
                      <w:sz w:val="13"/>
                      <w:szCs w:val="13"/>
                      <w:u w:val="single"/>
                    </w:rPr>
                  </w:pPr>
                </w:p>
              </w:tc>
              <w:tc>
                <w:tcPr>
                  <w:tcW w:w="499" w:type="dxa"/>
                  <w:vMerge w:val="continue"/>
                  <w:tcBorders>
                    <w:tl2br w:val="nil"/>
                    <w:tr2bl w:val="nil"/>
                  </w:tcBorders>
                  <w:vAlign w:val="center"/>
                </w:tcPr>
                <w:p w14:paraId="37F35EE9">
                  <w:pPr>
                    <w:adjustRightInd w:val="0"/>
                    <w:snapToGrid w:val="0"/>
                    <w:jc w:val="center"/>
                    <w:rPr>
                      <w:i/>
                      <w:iCs/>
                      <w:color w:val="auto"/>
                      <w:sz w:val="13"/>
                      <w:szCs w:val="13"/>
                      <w:u w:val="single"/>
                    </w:rPr>
                  </w:pPr>
                </w:p>
              </w:tc>
              <w:tc>
                <w:tcPr>
                  <w:tcW w:w="514" w:type="dxa"/>
                  <w:vMerge w:val="continue"/>
                  <w:tcBorders>
                    <w:tl2br w:val="nil"/>
                    <w:tr2bl w:val="nil"/>
                  </w:tcBorders>
                  <w:vAlign w:val="center"/>
                </w:tcPr>
                <w:p w14:paraId="7DC7E0EF">
                  <w:pPr>
                    <w:adjustRightInd w:val="0"/>
                    <w:snapToGrid w:val="0"/>
                    <w:jc w:val="center"/>
                    <w:rPr>
                      <w:i/>
                      <w:iCs/>
                      <w:color w:val="auto"/>
                      <w:sz w:val="13"/>
                      <w:szCs w:val="13"/>
                      <w:u w:val="single"/>
                    </w:rPr>
                  </w:pPr>
                </w:p>
              </w:tc>
              <w:tc>
                <w:tcPr>
                  <w:tcW w:w="493" w:type="dxa"/>
                  <w:vMerge w:val="continue"/>
                  <w:tcBorders>
                    <w:tl2br w:val="nil"/>
                    <w:tr2bl w:val="nil"/>
                  </w:tcBorders>
                  <w:vAlign w:val="center"/>
                </w:tcPr>
                <w:p w14:paraId="32012CF3">
                  <w:pPr>
                    <w:adjustRightInd w:val="0"/>
                    <w:snapToGrid w:val="0"/>
                    <w:jc w:val="center"/>
                    <w:rPr>
                      <w:i/>
                      <w:iCs/>
                      <w:color w:val="auto"/>
                      <w:sz w:val="13"/>
                      <w:szCs w:val="13"/>
                      <w:u w:val="single"/>
                    </w:rPr>
                  </w:pPr>
                </w:p>
              </w:tc>
              <w:tc>
                <w:tcPr>
                  <w:tcW w:w="804" w:type="dxa"/>
                  <w:vMerge w:val="continue"/>
                  <w:tcBorders>
                    <w:tl2br w:val="nil"/>
                    <w:tr2bl w:val="nil"/>
                  </w:tcBorders>
                  <w:vAlign w:val="center"/>
                </w:tcPr>
                <w:p w14:paraId="11CF294B">
                  <w:pPr>
                    <w:adjustRightInd w:val="0"/>
                    <w:snapToGrid w:val="0"/>
                    <w:jc w:val="center"/>
                    <w:rPr>
                      <w:i/>
                      <w:iCs/>
                      <w:color w:val="auto"/>
                      <w:sz w:val="13"/>
                      <w:szCs w:val="13"/>
                      <w:u w:val="single"/>
                    </w:rPr>
                  </w:pPr>
                </w:p>
              </w:tc>
              <w:tc>
                <w:tcPr>
                  <w:tcW w:w="1553" w:type="dxa"/>
                  <w:vMerge w:val="continue"/>
                  <w:tcBorders>
                    <w:tl2br w:val="nil"/>
                    <w:tr2bl w:val="nil"/>
                  </w:tcBorders>
                  <w:vAlign w:val="center"/>
                </w:tcPr>
                <w:p w14:paraId="01E87784">
                  <w:pPr>
                    <w:adjustRightInd w:val="0"/>
                    <w:snapToGrid w:val="0"/>
                    <w:jc w:val="center"/>
                    <w:rPr>
                      <w:i/>
                      <w:iCs/>
                      <w:color w:val="auto"/>
                      <w:sz w:val="13"/>
                      <w:szCs w:val="13"/>
                      <w:u w:val="single"/>
                    </w:rPr>
                  </w:pPr>
                </w:p>
              </w:tc>
              <w:tc>
                <w:tcPr>
                  <w:tcW w:w="964" w:type="dxa"/>
                  <w:vMerge w:val="continue"/>
                  <w:tcBorders>
                    <w:tl2br w:val="nil"/>
                    <w:tr2bl w:val="nil"/>
                  </w:tcBorders>
                  <w:vAlign w:val="center"/>
                </w:tcPr>
                <w:p w14:paraId="6E72F6DF">
                  <w:pPr>
                    <w:adjustRightInd w:val="0"/>
                    <w:snapToGrid w:val="0"/>
                    <w:jc w:val="center"/>
                    <w:rPr>
                      <w:i/>
                      <w:iCs/>
                      <w:color w:val="auto"/>
                      <w:sz w:val="13"/>
                      <w:szCs w:val="13"/>
                      <w:u w:val="single"/>
                    </w:rPr>
                  </w:pPr>
                </w:p>
              </w:tc>
              <w:tc>
                <w:tcPr>
                  <w:tcW w:w="750" w:type="dxa"/>
                  <w:tcBorders>
                    <w:tl2br w:val="nil"/>
                    <w:tr2bl w:val="nil"/>
                  </w:tcBorders>
                  <w:shd w:val="clear" w:color="auto" w:fill="auto"/>
                  <w:vAlign w:val="center"/>
                </w:tcPr>
                <w:p w14:paraId="01792C0E">
                  <w:pPr>
                    <w:adjustRightInd w:val="0"/>
                    <w:snapToGrid w:val="0"/>
                    <w:jc w:val="center"/>
                    <w:rPr>
                      <w:i/>
                      <w:iCs/>
                      <w:color w:val="auto"/>
                      <w:sz w:val="13"/>
                      <w:szCs w:val="13"/>
                      <w:u w:val="single"/>
                    </w:rPr>
                  </w:pPr>
                  <w:r>
                    <w:rPr>
                      <w:rFonts w:hint="eastAsia"/>
                      <w:i/>
                      <w:iCs/>
                      <w:color w:val="auto"/>
                      <w:sz w:val="13"/>
                      <w:szCs w:val="13"/>
                      <w:u w:val="single"/>
                    </w:rPr>
                    <w:t>西，73m</w:t>
                  </w:r>
                </w:p>
              </w:tc>
              <w:tc>
                <w:tcPr>
                  <w:tcW w:w="1169" w:type="dxa"/>
                  <w:tcBorders>
                    <w:tl2br w:val="nil"/>
                    <w:tr2bl w:val="nil"/>
                  </w:tcBorders>
                  <w:vAlign w:val="center"/>
                </w:tcPr>
                <w:p w14:paraId="0E67024C">
                  <w:pPr>
                    <w:adjustRightInd w:val="0"/>
                    <w:snapToGrid w:val="0"/>
                    <w:jc w:val="center"/>
                    <w:rPr>
                      <w:i/>
                      <w:iCs/>
                      <w:color w:val="auto"/>
                      <w:sz w:val="13"/>
                      <w:szCs w:val="13"/>
                      <w:u w:val="single"/>
                    </w:rPr>
                  </w:pPr>
                  <w:r>
                    <w:rPr>
                      <w:rFonts w:hint="eastAsia"/>
                      <w:i/>
                      <w:iCs/>
                      <w:color w:val="auto"/>
                      <w:sz w:val="13"/>
                      <w:szCs w:val="13"/>
                      <w:u w:val="single"/>
                    </w:rPr>
                    <w:t>18</w:t>
                  </w:r>
                </w:p>
              </w:tc>
            </w:tr>
            <w:tr w14:paraId="2FA4B7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1118" w:type="dxa"/>
                  <w:vMerge w:val="continue"/>
                  <w:tcBorders>
                    <w:tl2br w:val="nil"/>
                    <w:tr2bl w:val="nil"/>
                  </w:tcBorders>
                  <w:vAlign w:val="center"/>
                </w:tcPr>
                <w:p w14:paraId="6BE2F437">
                  <w:pPr>
                    <w:adjustRightInd w:val="0"/>
                    <w:snapToGrid w:val="0"/>
                    <w:jc w:val="center"/>
                    <w:rPr>
                      <w:i/>
                      <w:iCs/>
                      <w:color w:val="auto"/>
                      <w:sz w:val="13"/>
                      <w:szCs w:val="13"/>
                      <w:u w:val="single"/>
                    </w:rPr>
                  </w:pPr>
                </w:p>
              </w:tc>
              <w:tc>
                <w:tcPr>
                  <w:tcW w:w="499" w:type="dxa"/>
                  <w:vMerge w:val="continue"/>
                  <w:tcBorders>
                    <w:tl2br w:val="nil"/>
                    <w:tr2bl w:val="nil"/>
                  </w:tcBorders>
                  <w:vAlign w:val="center"/>
                </w:tcPr>
                <w:p w14:paraId="05B9026C">
                  <w:pPr>
                    <w:adjustRightInd w:val="0"/>
                    <w:snapToGrid w:val="0"/>
                    <w:jc w:val="center"/>
                    <w:rPr>
                      <w:i/>
                      <w:iCs/>
                      <w:color w:val="auto"/>
                      <w:sz w:val="13"/>
                      <w:szCs w:val="13"/>
                      <w:u w:val="single"/>
                    </w:rPr>
                  </w:pPr>
                </w:p>
              </w:tc>
              <w:tc>
                <w:tcPr>
                  <w:tcW w:w="514" w:type="dxa"/>
                  <w:vMerge w:val="continue"/>
                  <w:tcBorders>
                    <w:tl2br w:val="nil"/>
                    <w:tr2bl w:val="nil"/>
                  </w:tcBorders>
                  <w:vAlign w:val="center"/>
                </w:tcPr>
                <w:p w14:paraId="75C3FF2D">
                  <w:pPr>
                    <w:adjustRightInd w:val="0"/>
                    <w:snapToGrid w:val="0"/>
                    <w:jc w:val="center"/>
                    <w:rPr>
                      <w:i/>
                      <w:iCs/>
                      <w:color w:val="auto"/>
                      <w:sz w:val="13"/>
                      <w:szCs w:val="13"/>
                      <w:u w:val="single"/>
                    </w:rPr>
                  </w:pPr>
                </w:p>
              </w:tc>
              <w:tc>
                <w:tcPr>
                  <w:tcW w:w="493" w:type="dxa"/>
                  <w:vMerge w:val="continue"/>
                  <w:tcBorders>
                    <w:tl2br w:val="nil"/>
                    <w:tr2bl w:val="nil"/>
                  </w:tcBorders>
                  <w:vAlign w:val="center"/>
                </w:tcPr>
                <w:p w14:paraId="64DAB3D7">
                  <w:pPr>
                    <w:adjustRightInd w:val="0"/>
                    <w:snapToGrid w:val="0"/>
                    <w:jc w:val="center"/>
                    <w:rPr>
                      <w:i/>
                      <w:iCs/>
                      <w:color w:val="auto"/>
                      <w:sz w:val="13"/>
                      <w:szCs w:val="13"/>
                      <w:u w:val="single"/>
                    </w:rPr>
                  </w:pPr>
                </w:p>
              </w:tc>
              <w:tc>
                <w:tcPr>
                  <w:tcW w:w="804" w:type="dxa"/>
                  <w:vMerge w:val="continue"/>
                  <w:tcBorders>
                    <w:tl2br w:val="nil"/>
                    <w:tr2bl w:val="nil"/>
                  </w:tcBorders>
                  <w:vAlign w:val="center"/>
                </w:tcPr>
                <w:p w14:paraId="5C5DC1D0">
                  <w:pPr>
                    <w:adjustRightInd w:val="0"/>
                    <w:snapToGrid w:val="0"/>
                    <w:jc w:val="center"/>
                    <w:rPr>
                      <w:i/>
                      <w:iCs/>
                      <w:color w:val="auto"/>
                      <w:sz w:val="13"/>
                      <w:szCs w:val="13"/>
                      <w:u w:val="single"/>
                    </w:rPr>
                  </w:pPr>
                </w:p>
              </w:tc>
              <w:tc>
                <w:tcPr>
                  <w:tcW w:w="1553" w:type="dxa"/>
                  <w:vMerge w:val="continue"/>
                  <w:tcBorders>
                    <w:tl2br w:val="nil"/>
                    <w:tr2bl w:val="nil"/>
                  </w:tcBorders>
                  <w:vAlign w:val="center"/>
                </w:tcPr>
                <w:p w14:paraId="57644A95">
                  <w:pPr>
                    <w:adjustRightInd w:val="0"/>
                    <w:snapToGrid w:val="0"/>
                    <w:jc w:val="center"/>
                    <w:rPr>
                      <w:i/>
                      <w:iCs/>
                      <w:color w:val="auto"/>
                      <w:sz w:val="13"/>
                      <w:szCs w:val="13"/>
                      <w:u w:val="single"/>
                    </w:rPr>
                  </w:pPr>
                </w:p>
              </w:tc>
              <w:tc>
                <w:tcPr>
                  <w:tcW w:w="964" w:type="dxa"/>
                  <w:vMerge w:val="continue"/>
                  <w:tcBorders>
                    <w:tl2br w:val="nil"/>
                    <w:tr2bl w:val="nil"/>
                  </w:tcBorders>
                  <w:vAlign w:val="center"/>
                </w:tcPr>
                <w:p w14:paraId="503EF418">
                  <w:pPr>
                    <w:adjustRightInd w:val="0"/>
                    <w:snapToGrid w:val="0"/>
                    <w:jc w:val="center"/>
                    <w:rPr>
                      <w:i/>
                      <w:iCs/>
                      <w:color w:val="auto"/>
                      <w:sz w:val="13"/>
                      <w:szCs w:val="13"/>
                      <w:u w:val="single"/>
                    </w:rPr>
                  </w:pPr>
                </w:p>
              </w:tc>
              <w:tc>
                <w:tcPr>
                  <w:tcW w:w="750" w:type="dxa"/>
                  <w:tcBorders>
                    <w:tl2br w:val="nil"/>
                    <w:tr2bl w:val="nil"/>
                  </w:tcBorders>
                  <w:shd w:val="clear" w:color="auto" w:fill="auto"/>
                  <w:vAlign w:val="center"/>
                </w:tcPr>
                <w:p w14:paraId="78ECB960">
                  <w:pPr>
                    <w:adjustRightInd w:val="0"/>
                    <w:snapToGrid w:val="0"/>
                    <w:jc w:val="center"/>
                    <w:rPr>
                      <w:i/>
                      <w:iCs/>
                      <w:color w:val="auto"/>
                      <w:sz w:val="13"/>
                      <w:szCs w:val="13"/>
                      <w:u w:val="single"/>
                    </w:rPr>
                  </w:pPr>
                  <w:r>
                    <w:rPr>
                      <w:rFonts w:hint="eastAsia"/>
                      <w:i/>
                      <w:iCs/>
                      <w:color w:val="auto"/>
                      <w:sz w:val="13"/>
                      <w:szCs w:val="13"/>
                      <w:u w:val="single"/>
                    </w:rPr>
                    <w:t>北，168m</w:t>
                  </w:r>
                </w:p>
              </w:tc>
              <w:tc>
                <w:tcPr>
                  <w:tcW w:w="1169" w:type="dxa"/>
                  <w:tcBorders>
                    <w:tl2br w:val="nil"/>
                    <w:tr2bl w:val="nil"/>
                  </w:tcBorders>
                  <w:vAlign w:val="center"/>
                </w:tcPr>
                <w:p w14:paraId="546943BC">
                  <w:pPr>
                    <w:adjustRightInd w:val="0"/>
                    <w:snapToGrid w:val="0"/>
                    <w:jc w:val="center"/>
                    <w:rPr>
                      <w:i/>
                      <w:iCs/>
                      <w:color w:val="auto"/>
                      <w:sz w:val="13"/>
                      <w:szCs w:val="13"/>
                      <w:u w:val="single"/>
                    </w:rPr>
                  </w:pPr>
                  <w:r>
                    <w:rPr>
                      <w:rFonts w:hint="eastAsia"/>
                      <w:i/>
                      <w:iCs/>
                      <w:color w:val="auto"/>
                      <w:sz w:val="13"/>
                      <w:szCs w:val="13"/>
                      <w:u w:val="single"/>
                    </w:rPr>
                    <w:t>10</w:t>
                  </w:r>
                </w:p>
              </w:tc>
            </w:tr>
            <w:tr w14:paraId="4A16CF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1118" w:type="dxa"/>
                  <w:vMerge w:val="restart"/>
                  <w:tcBorders>
                    <w:tl2br w:val="nil"/>
                    <w:tr2bl w:val="nil"/>
                  </w:tcBorders>
                  <w:vAlign w:val="center"/>
                </w:tcPr>
                <w:p w14:paraId="5C788C75">
                  <w:pPr>
                    <w:adjustRightInd w:val="0"/>
                    <w:snapToGrid w:val="0"/>
                    <w:jc w:val="center"/>
                    <w:rPr>
                      <w:i/>
                      <w:iCs/>
                      <w:color w:val="auto"/>
                      <w:sz w:val="13"/>
                      <w:szCs w:val="13"/>
                      <w:u w:val="single"/>
                    </w:rPr>
                  </w:pPr>
                  <w:r>
                    <w:rPr>
                      <w:rFonts w:hint="eastAsia"/>
                      <w:i/>
                      <w:iCs/>
                      <w:color w:val="auto"/>
                      <w:sz w:val="13"/>
                      <w:szCs w:val="13"/>
                      <w:u w:val="single"/>
                    </w:rPr>
                    <w:t>铲车</w:t>
                  </w:r>
                </w:p>
              </w:tc>
              <w:tc>
                <w:tcPr>
                  <w:tcW w:w="499" w:type="dxa"/>
                  <w:vMerge w:val="restart"/>
                  <w:tcBorders>
                    <w:tl2br w:val="nil"/>
                    <w:tr2bl w:val="nil"/>
                  </w:tcBorders>
                  <w:vAlign w:val="center"/>
                </w:tcPr>
                <w:p w14:paraId="02CCC3C5">
                  <w:pPr>
                    <w:adjustRightInd w:val="0"/>
                    <w:snapToGrid w:val="0"/>
                    <w:jc w:val="center"/>
                    <w:rPr>
                      <w:i/>
                      <w:iCs/>
                      <w:color w:val="auto"/>
                      <w:sz w:val="13"/>
                      <w:szCs w:val="13"/>
                      <w:u w:val="single"/>
                    </w:rPr>
                  </w:pPr>
                  <w:r>
                    <w:rPr>
                      <w:rFonts w:hint="eastAsia"/>
                      <w:i/>
                      <w:iCs/>
                      <w:color w:val="auto"/>
                      <w:sz w:val="13"/>
                      <w:szCs w:val="13"/>
                      <w:u w:val="single"/>
                    </w:rPr>
                    <w:t>18</w:t>
                  </w:r>
                </w:p>
              </w:tc>
              <w:tc>
                <w:tcPr>
                  <w:tcW w:w="514" w:type="dxa"/>
                  <w:vMerge w:val="restart"/>
                  <w:tcBorders>
                    <w:tl2br w:val="nil"/>
                    <w:tr2bl w:val="nil"/>
                  </w:tcBorders>
                  <w:vAlign w:val="center"/>
                </w:tcPr>
                <w:p w14:paraId="784B06C1">
                  <w:pPr>
                    <w:adjustRightInd w:val="0"/>
                    <w:snapToGrid w:val="0"/>
                    <w:jc w:val="center"/>
                    <w:rPr>
                      <w:i/>
                      <w:iCs/>
                      <w:color w:val="auto"/>
                      <w:sz w:val="13"/>
                      <w:szCs w:val="13"/>
                      <w:u w:val="single"/>
                    </w:rPr>
                  </w:pPr>
                  <w:r>
                    <w:rPr>
                      <w:rFonts w:hint="eastAsia"/>
                      <w:i/>
                      <w:iCs/>
                      <w:color w:val="auto"/>
                      <w:sz w:val="13"/>
                      <w:szCs w:val="13"/>
                      <w:u w:val="single"/>
                    </w:rPr>
                    <w:t>20</w:t>
                  </w:r>
                </w:p>
              </w:tc>
              <w:tc>
                <w:tcPr>
                  <w:tcW w:w="493" w:type="dxa"/>
                  <w:vMerge w:val="restart"/>
                  <w:tcBorders>
                    <w:tl2br w:val="nil"/>
                    <w:tr2bl w:val="nil"/>
                  </w:tcBorders>
                  <w:vAlign w:val="center"/>
                </w:tcPr>
                <w:p w14:paraId="6D6896F2">
                  <w:pPr>
                    <w:adjustRightInd w:val="0"/>
                    <w:snapToGrid w:val="0"/>
                    <w:jc w:val="center"/>
                    <w:rPr>
                      <w:i/>
                      <w:iCs/>
                      <w:color w:val="auto"/>
                      <w:sz w:val="13"/>
                      <w:szCs w:val="13"/>
                      <w:u w:val="single"/>
                    </w:rPr>
                  </w:pPr>
                  <w:r>
                    <w:rPr>
                      <w:rFonts w:hint="eastAsia"/>
                      <w:i/>
                      <w:iCs/>
                      <w:color w:val="auto"/>
                      <w:sz w:val="13"/>
                      <w:szCs w:val="13"/>
                      <w:u w:val="single"/>
                    </w:rPr>
                    <w:t>3</w:t>
                  </w:r>
                </w:p>
              </w:tc>
              <w:tc>
                <w:tcPr>
                  <w:tcW w:w="804" w:type="dxa"/>
                  <w:vMerge w:val="restart"/>
                  <w:tcBorders>
                    <w:tl2br w:val="nil"/>
                    <w:tr2bl w:val="nil"/>
                  </w:tcBorders>
                  <w:vAlign w:val="center"/>
                </w:tcPr>
                <w:p w14:paraId="24D425EB">
                  <w:pPr>
                    <w:adjustRightInd w:val="0"/>
                    <w:snapToGrid w:val="0"/>
                    <w:jc w:val="center"/>
                    <w:rPr>
                      <w:i/>
                      <w:iCs/>
                      <w:color w:val="auto"/>
                      <w:sz w:val="13"/>
                      <w:szCs w:val="13"/>
                      <w:u w:val="single"/>
                    </w:rPr>
                  </w:pPr>
                  <w:r>
                    <w:rPr>
                      <w:rFonts w:hint="eastAsia"/>
                      <w:i/>
                      <w:iCs/>
                      <w:color w:val="auto"/>
                      <w:sz w:val="13"/>
                      <w:szCs w:val="13"/>
                      <w:u w:val="single"/>
                    </w:rPr>
                    <w:t>60</w:t>
                  </w:r>
                </w:p>
              </w:tc>
              <w:tc>
                <w:tcPr>
                  <w:tcW w:w="1553" w:type="dxa"/>
                  <w:vMerge w:val="restart"/>
                  <w:tcBorders>
                    <w:tl2br w:val="nil"/>
                    <w:tr2bl w:val="nil"/>
                  </w:tcBorders>
                  <w:vAlign w:val="center"/>
                </w:tcPr>
                <w:p w14:paraId="7172020E">
                  <w:pPr>
                    <w:adjustRightInd w:val="0"/>
                    <w:snapToGrid w:val="0"/>
                    <w:jc w:val="center"/>
                    <w:rPr>
                      <w:i/>
                      <w:iCs/>
                      <w:color w:val="auto"/>
                      <w:sz w:val="13"/>
                      <w:szCs w:val="13"/>
                      <w:u w:val="single"/>
                    </w:rPr>
                  </w:pPr>
                  <w:r>
                    <w:rPr>
                      <w:rFonts w:hint="eastAsia"/>
                      <w:i/>
                      <w:iCs/>
                      <w:color w:val="auto"/>
                      <w:sz w:val="13"/>
                      <w:szCs w:val="13"/>
                      <w:u w:val="single"/>
                    </w:rPr>
                    <w:t>禁止鸣笛，减速慢行</w:t>
                  </w:r>
                </w:p>
              </w:tc>
              <w:tc>
                <w:tcPr>
                  <w:tcW w:w="964" w:type="dxa"/>
                  <w:vMerge w:val="restart"/>
                  <w:tcBorders>
                    <w:tl2br w:val="nil"/>
                    <w:tr2bl w:val="nil"/>
                  </w:tcBorders>
                  <w:vAlign w:val="center"/>
                </w:tcPr>
                <w:p w14:paraId="4A213633">
                  <w:pPr>
                    <w:adjustRightInd w:val="0"/>
                    <w:snapToGrid w:val="0"/>
                    <w:jc w:val="center"/>
                    <w:rPr>
                      <w:i/>
                      <w:iCs/>
                      <w:color w:val="auto"/>
                      <w:sz w:val="13"/>
                      <w:szCs w:val="13"/>
                      <w:u w:val="single"/>
                    </w:rPr>
                  </w:pPr>
                  <w:r>
                    <w:rPr>
                      <w:rFonts w:hint="eastAsia"/>
                      <w:i/>
                      <w:iCs/>
                      <w:color w:val="auto"/>
                      <w:sz w:val="13"/>
                      <w:szCs w:val="13"/>
                      <w:u w:val="single"/>
                    </w:rPr>
                    <w:t>16h/d</w:t>
                  </w:r>
                </w:p>
              </w:tc>
              <w:tc>
                <w:tcPr>
                  <w:tcW w:w="750" w:type="dxa"/>
                  <w:tcBorders>
                    <w:tl2br w:val="nil"/>
                    <w:tr2bl w:val="nil"/>
                  </w:tcBorders>
                  <w:shd w:val="clear" w:color="auto" w:fill="auto"/>
                  <w:vAlign w:val="center"/>
                </w:tcPr>
                <w:p w14:paraId="3C328B36">
                  <w:pPr>
                    <w:adjustRightInd w:val="0"/>
                    <w:snapToGrid w:val="0"/>
                    <w:jc w:val="center"/>
                    <w:rPr>
                      <w:i/>
                      <w:iCs/>
                      <w:color w:val="auto"/>
                      <w:sz w:val="13"/>
                      <w:szCs w:val="13"/>
                      <w:u w:val="single"/>
                    </w:rPr>
                  </w:pPr>
                  <w:r>
                    <w:rPr>
                      <w:rFonts w:hint="eastAsia"/>
                      <w:i/>
                      <w:iCs/>
                      <w:color w:val="auto"/>
                      <w:sz w:val="13"/>
                      <w:szCs w:val="13"/>
                      <w:u w:val="single"/>
                    </w:rPr>
                    <w:t>东，94m</w:t>
                  </w:r>
                </w:p>
              </w:tc>
              <w:tc>
                <w:tcPr>
                  <w:tcW w:w="1169" w:type="dxa"/>
                  <w:tcBorders>
                    <w:tl2br w:val="nil"/>
                    <w:tr2bl w:val="nil"/>
                  </w:tcBorders>
                  <w:vAlign w:val="center"/>
                </w:tcPr>
                <w:p w14:paraId="4D41F75B">
                  <w:pPr>
                    <w:adjustRightInd w:val="0"/>
                    <w:snapToGrid w:val="0"/>
                    <w:jc w:val="center"/>
                    <w:rPr>
                      <w:i/>
                      <w:iCs/>
                      <w:color w:val="auto"/>
                      <w:sz w:val="13"/>
                      <w:szCs w:val="13"/>
                      <w:u w:val="single"/>
                    </w:rPr>
                  </w:pPr>
                  <w:r>
                    <w:rPr>
                      <w:rFonts w:hint="eastAsia"/>
                      <w:i/>
                      <w:iCs/>
                      <w:color w:val="auto"/>
                      <w:sz w:val="13"/>
                      <w:szCs w:val="13"/>
                      <w:u w:val="single"/>
                    </w:rPr>
                    <w:t>21</w:t>
                  </w:r>
                </w:p>
              </w:tc>
            </w:tr>
            <w:tr w14:paraId="5DB2D6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1118" w:type="dxa"/>
                  <w:vMerge w:val="continue"/>
                  <w:tcBorders>
                    <w:tl2br w:val="nil"/>
                    <w:tr2bl w:val="nil"/>
                  </w:tcBorders>
                  <w:vAlign w:val="center"/>
                </w:tcPr>
                <w:p w14:paraId="508885AD">
                  <w:pPr>
                    <w:adjustRightInd w:val="0"/>
                    <w:snapToGrid w:val="0"/>
                    <w:jc w:val="center"/>
                    <w:rPr>
                      <w:i/>
                      <w:iCs/>
                      <w:color w:val="auto"/>
                      <w:sz w:val="13"/>
                      <w:szCs w:val="13"/>
                      <w:u w:val="single"/>
                    </w:rPr>
                  </w:pPr>
                </w:p>
              </w:tc>
              <w:tc>
                <w:tcPr>
                  <w:tcW w:w="499" w:type="dxa"/>
                  <w:vMerge w:val="continue"/>
                  <w:tcBorders>
                    <w:tl2br w:val="nil"/>
                    <w:tr2bl w:val="nil"/>
                  </w:tcBorders>
                  <w:vAlign w:val="center"/>
                </w:tcPr>
                <w:p w14:paraId="18E15BC6">
                  <w:pPr>
                    <w:adjustRightInd w:val="0"/>
                    <w:snapToGrid w:val="0"/>
                    <w:jc w:val="center"/>
                    <w:rPr>
                      <w:i/>
                      <w:iCs/>
                      <w:color w:val="auto"/>
                      <w:sz w:val="13"/>
                      <w:szCs w:val="13"/>
                      <w:u w:val="single"/>
                    </w:rPr>
                  </w:pPr>
                </w:p>
              </w:tc>
              <w:tc>
                <w:tcPr>
                  <w:tcW w:w="514" w:type="dxa"/>
                  <w:vMerge w:val="continue"/>
                  <w:tcBorders>
                    <w:tl2br w:val="nil"/>
                    <w:tr2bl w:val="nil"/>
                  </w:tcBorders>
                  <w:vAlign w:val="center"/>
                </w:tcPr>
                <w:p w14:paraId="47AF96B7">
                  <w:pPr>
                    <w:adjustRightInd w:val="0"/>
                    <w:snapToGrid w:val="0"/>
                    <w:jc w:val="center"/>
                    <w:rPr>
                      <w:i/>
                      <w:iCs/>
                      <w:color w:val="auto"/>
                      <w:sz w:val="13"/>
                      <w:szCs w:val="13"/>
                      <w:u w:val="single"/>
                    </w:rPr>
                  </w:pPr>
                </w:p>
              </w:tc>
              <w:tc>
                <w:tcPr>
                  <w:tcW w:w="493" w:type="dxa"/>
                  <w:vMerge w:val="continue"/>
                  <w:tcBorders>
                    <w:tl2br w:val="nil"/>
                    <w:tr2bl w:val="nil"/>
                  </w:tcBorders>
                  <w:vAlign w:val="center"/>
                </w:tcPr>
                <w:p w14:paraId="79067FE3">
                  <w:pPr>
                    <w:adjustRightInd w:val="0"/>
                    <w:snapToGrid w:val="0"/>
                    <w:jc w:val="center"/>
                    <w:rPr>
                      <w:i/>
                      <w:iCs/>
                      <w:color w:val="auto"/>
                      <w:sz w:val="13"/>
                      <w:szCs w:val="13"/>
                      <w:u w:val="single"/>
                    </w:rPr>
                  </w:pPr>
                </w:p>
              </w:tc>
              <w:tc>
                <w:tcPr>
                  <w:tcW w:w="804" w:type="dxa"/>
                  <w:vMerge w:val="continue"/>
                  <w:tcBorders>
                    <w:tl2br w:val="nil"/>
                    <w:tr2bl w:val="nil"/>
                  </w:tcBorders>
                  <w:vAlign w:val="center"/>
                </w:tcPr>
                <w:p w14:paraId="67EA8A56">
                  <w:pPr>
                    <w:adjustRightInd w:val="0"/>
                    <w:snapToGrid w:val="0"/>
                    <w:jc w:val="center"/>
                    <w:rPr>
                      <w:i/>
                      <w:iCs/>
                      <w:color w:val="auto"/>
                      <w:sz w:val="13"/>
                      <w:szCs w:val="13"/>
                      <w:u w:val="single"/>
                    </w:rPr>
                  </w:pPr>
                </w:p>
              </w:tc>
              <w:tc>
                <w:tcPr>
                  <w:tcW w:w="1553" w:type="dxa"/>
                  <w:vMerge w:val="continue"/>
                  <w:tcBorders>
                    <w:tl2br w:val="nil"/>
                    <w:tr2bl w:val="nil"/>
                  </w:tcBorders>
                  <w:vAlign w:val="center"/>
                </w:tcPr>
                <w:p w14:paraId="2EC1D956">
                  <w:pPr>
                    <w:adjustRightInd w:val="0"/>
                    <w:snapToGrid w:val="0"/>
                    <w:jc w:val="center"/>
                    <w:rPr>
                      <w:i/>
                      <w:iCs/>
                      <w:color w:val="auto"/>
                      <w:sz w:val="13"/>
                      <w:szCs w:val="13"/>
                      <w:u w:val="single"/>
                    </w:rPr>
                  </w:pPr>
                </w:p>
              </w:tc>
              <w:tc>
                <w:tcPr>
                  <w:tcW w:w="964" w:type="dxa"/>
                  <w:vMerge w:val="continue"/>
                  <w:tcBorders>
                    <w:tl2br w:val="nil"/>
                    <w:tr2bl w:val="nil"/>
                  </w:tcBorders>
                  <w:vAlign w:val="center"/>
                </w:tcPr>
                <w:p w14:paraId="56B37451">
                  <w:pPr>
                    <w:adjustRightInd w:val="0"/>
                    <w:snapToGrid w:val="0"/>
                    <w:jc w:val="center"/>
                    <w:rPr>
                      <w:i/>
                      <w:iCs/>
                      <w:color w:val="auto"/>
                      <w:sz w:val="13"/>
                      <w:szCs w:val="13"/>
                      <w:u w:val="single"/>
                    </w:rPr>
                  </w:pPr>
                </w:p>
              </w:tc>
              <w:tc>
                <w:tcPr>
                  <w:tcW w:w="750" w:type="dxa"/>
                  <w:tcBorders>
                    <w:tl2br w:val="nil"/>
                    <w:tr2bl w:val="nil"/>
                  </w:tcBorders>
                  <w:shd w:val="clear" w:color="auto" w:fill="auto"/>
                  <w:vAlign w:val="center"/>
                </w:tcPr>
                <w:p w14:paraId="7AAC21AF">
                  <w:pPr>
                    <w:adjustRightInd w:val="0"/>
                    <w:snapToGrid w:val="0"/>
                    <w:jc w:val="center"/>
                    <w:rPr>
                      <w:i/>
                      <w:iCs/>
                      <w:color w:val="auto"/>
                      <w:sz w:val="13"/>
                      <w:szCs w:val="13"/>
                      <w:u w:val="single"/>
                    </w:rPr>
                  </w:pPr>
                  <w:r>
                    <w:rPr>
                      <w:rFonts w:hint="eastAsia"/>
                      <w:i/>
                      <w:iCs/>
                      <w:color w:val="auto"/>
                      <w:sz w:val="13"/>
                      <w:szCs w:val="13"/>
                      <w:u w:val="single"/>
                    </w:rPr>
                    <w:t>南，73m</w:t>
                  </w:r>
                </w:p>
              </w:tc>
              <w:tc>
                <w:tcPr>
                  <w:tcW w:w="1169" w:type="dxa"/>
                  <w:tcBorders>
                    <w:tl2br w:val="nil"/>
                    <w:tr2bl w:val="nil"/>
                  </w:tcBorders>
                  <w:vAlign w:val="center"/>
                </w:tcPr>
                <w:p w14:paraId="658B22EA">
                  <w:pPr>
                    <w:adjustRightInd w:val="0"/>
                    <w:snapToGrid w:val="0"/>
                    <w:jc w:val="center"/>
                    <w:rPr>
                      <w:i/>
                      <w:iCs/>
                      <w:color w:val="auto"/>
                      <w:sz w:val="13"/>
                      <w:szCs w:val="13"/>
                      <w:u w:val="single"/>
                    </w:rPr>
                  </w:pPr>
                  <w:r>
                    <w:rPr>
                      <w:rFonts w:hint="eastAsia"/>
                      <w:i/>
                      <w:iCs/>
                      <w:color w:val="auto"/>
                      <w:sz w:val="13"/>
                      <w:szCs w:val="13"/>
                      <w:u w:val="single"/>
                    </w:rPr>
                    <w:t>23</w:t>
                  </w:r>
                </w:p>
              </w:tc>
            </w:tr>
            <w:tr w14:paraId="38A8F8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118" w:type="dxa"/>
                  <w:vMerge w:val="continue"/>
                  <w:tcBorders>
                    <w:tl2br w:val="nil"/>
                    <w:tr2bl w:val="nil"/>
                  </w:tcBorders>
                  <w:vAlign w:val="center"/>
                </w:tcPr>
                <w:p w14:paraId="3D8B5431">
                  <w:pPr>
                    <w:adjustRightInd w:val="0"/>
                    <w:snapToGrid w:val="0"/>
                    <w:jc w:val="center"/>
                    <w:rPr>
                      <w:i/>
                      <w:iCs/>
                      <w:color w:val="auto"/>
                      <w:sz w:val="13"/>
                      <w:szCs w:val="13"/>
                      <w:u w:val="single"/>
                    </w:rPr>
                  </w:pPr>
                </w:p>
              </w:tc>
              <w:tc>
                <w:tcPr>
                  <w:tcW w:w="499" w:type="dxa"/>
                  <w:vMerge w:val="continue"/>
                  <w:tcBorders>
                    <w:tl2br w:val="nil"/>
                    <w:tr2bl w:val="nil"/>
                  </w:tcBorders>
                  <w:vAlign w:val="center"/>
                </w:tcPr>
                <w:p w14:paraId="3E0C0577">
                  <w:pPr>
                    <w:adjustRightInd w:val="0"/>
                    <w:snapToGrid w:val="0"/>
                    <w:jc w:val="center"/>
                    <w:rPr>
                      <w:i/>
                      <w:iCs/>
                      <w:color w:val="auto"/>
                      <w:sz w:val="13"/>
                      <w:szCs w:val="13"/>
                      <w:u w:val="single"/>
                    </w:rPr>
                  </w:pPr>
                </w:p>
              </w:tc>
              <w:tc>
                <w:tcPr>
                  <w:tcW w:w="514" w:type="dxa"/>
                  <w:vMerge w:val="continue"/>
                  <w:tcBorders>
                    <w:tl2br w:val="nil"/>
                    <w:tr2bl w:val="nil"/>
                  </w:tcBorders>
                  <w:vAlign w:val="center"/>
                </w:tcPr>
                <w:p w14:paraId="0458F3C1">
                  <w:pPr>
                    <w:adjustRightInd w:val="0"/>
                    <w:snapToGrid w:val="0"/>
                    <w:jc w:val="center"/>
                    <w:rPr>
                      <w:i/>
                      <w:iCs/>
                      <w:color w:val="auto"/>
                      <w:sz w:val="13"/>
                      <w:szCs w:val="13"/>
                      <w:u w:val="single"/>
                    </w:rPr>
                  </w:pPr>
                </w:p>
              </w:tc>
              <w:tc>
                <w:tcPr>
                  <w:tcW w:w="493" w:type="dxa"/>
                  <w:vMerge w:val="continue"/>
                  <w:tcBorders>
                    <w:tl2br w:val="nil"/>
                    <w:tr2bl w:val="nil"/>
                  </w:tcBorders>
                  <w:vAlign w:val="center"/>
                </w:tcPr>
                <w:p w14:paraId="10B55528">
                  <w:pPr>
                    <w:adjustRightInd w:val="0"/>
                    <w:snapToGrid w:val="0"/>
                    <w:jc w:val="center"/>
                    <w:rPr>
                      <w:i/>
                      <w:iCs/>
                      <w:color w:val="auto"/>
                      <w:sz w:val="13"/>
                      <w:szCs w:val="13"/>
                      <w:u w:val="single"/>
                    </w:rPr>
                  </w:pPr>
                </w:p>
              </w:tc>
              <w:tc>
                <w:tcPr>
                  <w:tcW w:w="804" w:type="dxa"/>
                  <w:vMerge w:val="continue"/>
                  <w:tcBorders>
                    <w:tl2br w:val="nil"/>
                    <w:tr2bl w:val="nil"/>
                  </w:tcBorders>
                  <w:vAlign w:val="center"/>
                </w:tcPr>
                <w:p w14:paraId="515C0EDE">
                  <w:pPr>
                    <w:adjustRightInd w:val="0"/>
                    <w:snapToGrid w:val="0"/>
                    <w:jc w:val="center"/>
                    <w:rPr>
                      <w:i/>
                      <w:iCs/>
                      <w:color w:val="auto"/>
                      <w:sz w:val="13"/>
                      <w:szCs w:val="13"/>
                      <w:u w:val="single"/>
                    </w:rPr>
                  </w:pPr>
                </w:p>
              </w:tc>
              <w:tc>
                <w:tcPr>
                  <w:tcW w:w="1553" w:type="dxa"/>
                  <w:vMerge w:val="continue"/>
                  <w:tcBorders>
                    <w:tl2br w:val="nil"/>
                    <w:tr2bl w:val="nil"/>
                  </w:tcBorders>
                  <w:vAlign w:val="center"/>
                </w:tcPr>
                <w:p w14:paraId="5CDFDB09">
                  <w:pPr>
                    <w:adjustRightInd w:val="0"/>
                    <w:snapToGrid w:val="0"/>
                    <w:jc w:val="center"/>
                    <w:rPr>
                      <w:i/>
                      <w:iCs/>
                      <w:color w:val="auto"/>
                      <w:sz w:val="13"/>
                      <w:szCs w:val="13"/>
                      <w:u w:val="single"/>
                    </w:rPr>
                  </w:pPr>
                </w:p>
              </w:tc>
              <w:tc>
                <w:tcPr>
                  <w:tcW w:w="964" w:type="dxa"/>
                  <w:vMerge w:val="continue"/>
                  <w:tcBorders>
                    <w:tl2br w:val="nil"/>
                    <w:tr2bl w:val="nil"/>
                  </w:tcBorders>
                  <w:vAlign w:val="center"/>
                </w:tcPr>
                <w:p w14:paraId="233893D2">
                  <w:pPr>
                    <w:adjustRightInd w:val="0"/>
                    <w:snapToGrid w:val="0"/>
                    <w:jc w:val="center"/>
                    <w:rPr>
                      <w:i/>
                      <w:iCs/>
                      <w:color w:val="auto"/>
                      <w:sz w:val="13"/>
                      <w:szCs w:val="13"/>
                      <w:u w:val="single"/>
                    </w:rPr>
                  </w:pPr>
                </w:p>
              </w:tc>
              <w:tc>
                <w:tcPr>
                  <w:tcW w:w="750" w:type="dxa"/>
                  <w:tcBorders>
                    <w:tl2br w:val="nil"/>
                    <w:tr2bl w:val="nil"/>
                  </w:tcBorders>
                  <w:shd w:val="clear" w:color="auto" w:fill="auto"/>
                  <w:vAlign w:val="center"/>
                </w:tcPr>
                <w:p w14:paraId="370CE7C3">
                  <w:pPr>
                    <w:adjustRightInd w:val="0"/>
                    <w:snapToGrid w:val="0"/>
                    <w:jc w:val="center"/>
                    <w:rPr>
                      <w:i/>
                      <w:iCs/>
                      <w:color w:val="auto"/>
                      <w:sz w:val="13"/>
                      <w:szCs w:val="13"/>
                      <w:u w:val="single"/>
                    </w:rPr>
                  </w:pPr>
                  <w:r>
                    <w:rPr>
                      <w:rFonts w:hint="eastAsia"/>
                      <w:i/>
                      <w:iCs/>
                      <w:color w:val="auto"/>
                      <w:sz w:val="13"/>
                      <w:szCs w:val="13"/>
                      <w:u w:val="single"/>
                    </w:rPr>
                    <w:t>西，27m</w:t>
                  </w:r>
                </w:p>
              </w:tc>
              <w:tc>
                <w:tcPr>
                  <w:tcW w:w="1169" w:type="dxa"/>
                  <w:tcBorders>
                    <w:tl2br w:val="nil"/>
                    <w:tr2bl w:val="nil"/>
                  </w:tcBorders>
                  <w:vAlign w:val="center"/>
                </w:tcPr>
                <w:p w14:paraId="0F7D6C7E">
                  <w:pPr>
                    <w:adjustRightInd w:val="0"/>
                    <w:snapToGrid w:val="0"/>
                    <w:jc w:val="center"/>
                    <w:rPr>
                      <w:i/>
                      <w:iCs/>
                      <w:color w:val="auto"/>
                      <w:sz w:val="13"/>
                      <w:szCs w:val="13"/>
                      <w:u w:val="single"/>
                    </w:rPr>
                  </w:pPr>
                  <w:r>
                    <w:rPr>
                      <w:rFonts w:hint="eastAsia"/>
                      <w:i/>
                      <w:iCs/>
                      <w:color w:val="auto"/>
                      <w:sz w:val="13"/>
                      <w:szCs w:val="13"/>
                      <w:u w:val="single"/>
                    </w:rPr>
                    <w:t>31</w:t>
                  </w:r>
                </w:p>
              </w:tc>
            </w:tr>
            <w:tr w14:paraId="18F852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18" w:type="dxa"/>
                  <w:vMerge w:val="continue"/>
                  <w:tcBorders>
                    <w:tl2br w:val="nil"/>
                    <w:tr2bl w:val="nil"/>
                  </w:tcBorders>
                  <w:vAlign w:val="center"/>
                </w:tcPr>
                <w:p w14:paraId="05E0A644">
                  <w:pPr>
                    <w:adjustRightInd w:val="0"/>
                    <w:snapToGrid w:val="0"/>
                    <w:jc w:val="center"/>
                    <w:rPr>
                      <w:i/>
                      <w:iCs/>
                      <w:color w:val="auto"/>
                      <w:sz w:val="13"/>
                      <w:szCs w:val="13"/>
                      <w:u w:val="single"/>
                    </w:rPr>
                  </w:pPr>
                </w:p>
              </w:tc>
              <w:tc>
                <w:tcPr>
                  <w:tcW w:w="499" w:type="dxa"/>
                  <w:vMerge w:val="continue"/>
                  <w:tcBorders>
                    <w:tl2br w:val="nil"/>
                    <w:tr2bl w:val="nil"/>
                  </w:tcBorders>
                  <w:vAlign w:val="center"/>
                </w:tcPr>
                <w:p w14:paraId="290969F3">
                  <w:pPr>
                    <w:adjustRightInd w:val="0"/>
                    <w:snapToGrid w:val="0"/>
                    <w:jc w:val="center"/>
                    <w:rPr>
                      <w:i/>
                      <w:iCs/>
                      <w:color w:val="auto"/>
                      <w:sz w:val="13"/>
                      <w:szCs w:val="13"/>
                      <w:u w:val="single"/>
                    </w:rPr>
                  </w:pPr>
                </w:p>
              </w:tc>
              <w:tc>
                <w:tcPr>
                  <w:tcW w:w="514" w:type="dxa"/>
                  <w:vMerge w:val="continue"/>
                  <w:tcBorders>
                    <w:tl2br w:val="nil"/>
                    <w:tr2bl w:val="nil"/>
                  </w:tcBorders>
                  <w:vAlign w:val="center"/>
                </w:tcPr>
                <w:p w14:paraId="48E75CD2">
                  <w:pPr>
                    <w:adjustRightInd w:val="0"/>
                    <w:snapToGrid w:val="0"/>
                    <w:jc w:val="center"/>
                    <w:rPr>
                      <w:i/>
                      <w:iCs/>
                      <w:color w:val="auto"/>
                      <w:sz w:val="13"/>
                      <w:szCs w:val="13"/>
                      <w:u w:val="single"/>
                    </w:rPr>
                  </w:pPr>
                </w:p>
              </w:tc>
              <w:tc>
                <w:tcPr>
                  <w:tcW w:w="493" w:type="dxa"/>
                  <w:vMerge w:val="continue"/>
                  <w:tcBorders>
                    <w:tl2br w:val="nil"/>
                    <w:tr2bl w:val="nil"/>
                  </w:tcBorders>
                  <w:vAlign w:val="center"/>
                </w:tcPr>
                <w:p w14:paraId="52AEAA34">
                  <w:pPr>
                    <w:adjustRightInd w:val="0"/>
                    <w:snapToGrid w:val="0"/>
                    <w:jc w:val="center"/>
                    <w:rPr>
                      <w:i/>
                      <w:iCs/>
                      <w:color w:val="auto"/>
                      <w:sz w:val="13"/>
                      <w:szCs w:val="13"/>
                      <w:u w:val="single"/>
                    </w:rPr>
                  </w:pPr>
                </w:p>
              </w:tc>
              <w:tc>
                <w:tcPr>
                  <w:tcW w:w="804" w:type="dxa"/>
                  <w:vMerge w:val="continue"/>
                  <w:tcBorders>
                    <w:tl2br w:val="nil"/>
                    <w:tr2bl w:val="nil"/>
                  </w:tcBorders>
                  <w:vAlign w:val="center"/>
                </w:tcPr>
                <w:p w14:paraId="62149764">
                  <w:pPr>
                    <w:adjustRightInd w:val="0"/>
                    <w:snapToGrid w:val="0"/>
                    <w:jc w:val="center"/>
                    <w:rPr>
                      <w:i/>
                      <w:iCs/>
                      <w:color w:val="auto"/>
                      <w:sz w:val="13"/>
                      <w:szCs w:val="13"/>
                      <w:u w:val="single"/>
                    </w:rPr>
                  </w:pPr>
                </w:p>
              </w:tc>
              <w:tc>
                <w:tcPr>
                  <w:tcW w:w="1553" w:type="dxa"/>
                  <w:vMerge w:val="continue"/>
                  <w:tcBorders>
                    <w:tl2br w:val="nil"/>
                    <w:tr2bl w:val="nil"/>
                  </w:tcBorders>
                  <w:vAlign w:val="center"/>
                </w:tcPr>
                <w:p w14:paraId="259670CC">
                  <w:pPr>
                    <w:adjustRightInd w:val="0"/>
                    <w:snapToGrid w:val="0"/>
                    <w:jc w:val="center"/>
                    <w:rPr>
                      <w:i/>
                      <w:iCs/>
                      <w:color w:val="auto"/>
                      <w:sz w:val="13"/>
                      <w:szCs w:val="13"/>
                      <w:u w:val="single"/>
                    </w:rPr>
                  </w:pPr>
                </w:p>
              </w:tc>
              <w:tc>
                <w:tcPr>
                  <w:tcW w:w="964" w:type="dxa"/>
                  <w:vMerge w:val="continue"/>
                  <w:tcBorders>
                    <w:tl2br w:val="nil"/>
                    <w:tr2bl w:val="nil"/>
                  </w:tcBorders>
                  <w:vAlign w:val="center"/>
                </w:tcPr>
                <w:p w14:paraId="5D6E25C9">
                  <w:pPr>
                    <w:adjustRightInd w:val="0"/>
                    <w:snapToGrid w:val="0"/>
                    <w:jc w:val="center"/>
                    <w:rPr>
                      <w:i/>
                      <w:iCs/>
                      <w:color w:val="auto"/>
                      <w:sz w:val="13"/>
                      <w:szCs w:val="13"/>
                      <w:u w:val="single"/>
                    </w:rPr>
                  </w:pPr>
                </w:p>
              </w:tc>
              <w:tc>
                <w:tcPr>
                  <w:tcW w:w="750" w:type="dxa"/>
                  <w:tcBorders>
                    <w:tl2br w:val="nil"/>
                    <w:tr2bl w:val="nil"/>
                  </w:tcBorders>
                  <w:shd w:val="clear" w:color="auto" w:fill="auto"/>
                  <w:vAlign w:val="center"/>
                </w:tcPr>
                <w:p w14:paraId="7AEEB43F">
                  <w:pPr>
                    <w:adjustRightInd w:val="0"/>
                    <w:snapToGrid w:val="0"/>
                    <w:jc w:val="center"/>
                    <w:rPr>
                      <w:i/>
                      <w:iCs/>
                      <w:color w:val="auto"/>
                      <w:sz w:val="13"/>
                      <w:szCs w:val="13"/>
                      <w:u w:val="single"/>
                    </w:rPr>
                  </w:pPr>
                  <w:r>
                    <w:rPr>
                      <w:rFonts w:hint="eastAsia"/>
                      <w:i/>
                      <w:iCs/>
                      <w:color w:val="auto"/>
                      <w:sz w:val="13"/>
                      <w:szCs w:val="13"/>
                      <w:u w:val="single"/>
                    </w:rPr>
                    <w:t>北，174m</w:t>
                  </w:r>
                </w:p>
              </w:tc>
              <w:tc>
                <w:tcPr>
                  <w:tcW w:w="1169" w:type="dxa"/>
                  <w:tcBorders>
                    <w:tl2br w:val="nil"/>
                    <w:tr2bl w:val="nil"/>
                  </w:tcBorders>
                  <w:vAlign w:val="center"/>
                </w:tcPr>
                <w:p w14:paraId="2A2A92AC">
                  <w:pPr>
                    <w:adjustRightInd w:val="0"/>
                    <w:snapToGrid w:val="0"/>
                    <w:jc w:val="center"/>
                    <w:rPr>
                      <w:i/>
                      <w:iCs/>
                      <w:color w:val="auto"/>
                      <w:sz w:val="13"/>
                      <w:szCs w:val="13"/>
                      <w:u w:val="single"/>
                    </w:rPr>
                  </w:pPr>
                  <w:r>
                    <w:rPr>
                      <w:rFonts w:hint="eastAsia"/>
                      <w:i/>
                      <w:iCs/>
                      <w:color w:val="auto"/>
                      <w:sz w:val="13"/>
                      <w:szCs w:val="13"/>
                      <w:u w:val="single"/>
                    </w:rPr>
                    <w:t>15</w:t>
                  </w:r>
                </w:p>
              </w:tc>
            </w:tr>
          </w:tbl>
          <w:p w14:paraId="1087E817">
            <w:pPr>
              <w:ind w:firstLine="420" w:firstLineChars="200"/>
              <w:jc w:val="center"/>
              <w:rPr>
                <w:color w:val="auto"/>
              </w:rPr>
            </w:pPr>
          </w:p>
          <w:p w14:paraId="7C3FBF55">
            <w:pPr>
              <w:autoSpaceDE w:val="0"/>
              <w:autoSpaceDN w:val="0"/>
              <w:adjustRightInd w:val="0"/>
              <w:snapToGrid w:val="0"/>
              <w:spacing w:line="360" w:lineRule="auto"/>
              <w:ind w:firstLine="480"/>
              <w:rPr>
                <w:rFonts w:hAnsi="宋体"/>
                <w:color w:val="auto"/>
              </w:rPr>
            </w:pPr>
            <w:r>
              <w:rPr>
                <w:color w:val="auto"/>
              </w:rPr>
              <w:t>拟采取治理措施：</w:t>
            </w:r>
            <w:r>
              <w:rPr>
                <w:rFonts w:hint="eastAsia" w:cs="宋体"/>
                <w:color w:val="auto"/>
              </w:rPr>
              <w:t>从设备选型、安装位置的选择着手，选择新型低噪设备，通过减振基础、加装消声器、隔声装置减少空气动力性噪声，合理布置噪声源，主要产噪设备设置在车间内；在厂房工艺区划布局上考虑噪声影响，对厂房采用隔音门窗或者加设吸音材料，车间内部加设吸音材料；加强对设备的管理和维护。随着使用年限的增加，有些设备噪声可能有所增加，故应在有关环保人员的统一管理下，定期检查、监测，发现噪声超标要及时治理并增加相关操作岗位工人的个体防护；强化行车管理制度，设置降噪标准，严禁鸣号，进、出厂区以及经过敏感点时低速行驶，最大限度减少流动噪声源。</w:t>
            </w:r>
            <w:r>
              <w:rPr>
                <w:rFonts w:hint="eastAsia" w:ascii="宋体" w:hAnsi="宋体"/>
                <w:color w:val="auto"/>
              </w:rPr>
              <w:t>经采取上述方式处理后，可使本项目厂界噪声</w:t>
            </w:r>
            <w:r>
              <w:rPr>
                <w:rFonts w:ascii="宋体" w:hAnsi="宋体"/>
                <w:color w:val="auto"/>
              </w:rPr>
              <w:t>满足</w:t>
            </w:r>
            <w:r>
              <w:rPr>
                <w:color w:val="auto"/>
              </w:rPr>
              <w:t>GB12348-2008</w:t>
            </w:r>
            <w:r>
              <w:rPr>
                <w:rFonts w:hAnsi="宋体"/>
                <w:color w:val="auto"/>
              </w:rPr>
              <w:t>《工业企业厂界环境噪声排放标准》中</w:t>
            </w:r>
            <w:r>
              <w:rPr>
                <w:rFonts w:hint="eastAsia"/>
                <w:color w:val="auto"/>
              </w:rPr>
              <w:t>2类</w:t>
            </w:r>
            <w:r>
              <w:rPr>
                <w:rFonts w:hAnsi="宋体"/>
                <w:color w:val="auto"/>
              </w:rPr>
              <w:t>标准要求。</w:t>
            </w:r>
          </w:p>
          <w:p w14:paraId="71B7F81B">
            <w:pPr>
              <w:pStyle w:val="8"/>
              <w:adjustRightInd w:val="0"/>
              <w:snapToGrid w:val="0"/>
              <w:spacing w:line="360" w:lineRule="auto"/>
              <w:ind w:firstLine="420" w:firstLineChars="200"/>
              <w:jc w:val="both"/>
              <w:rPr>
                <w:rFonts w:ascii="Times New Roman" w:hAnsi="Times New Roman" w:cs="Times New Roman"/>
                <w:color w:val="auto"/>
                <w:sz w:val="21"/>
                <w:szCs w:val="21"/>
              </w:rPr>
            </w:pPr>
            <w:r>
              <w:rPr>
                <w:rFonts w:hint="eastAsia" w:ascii="Times New Roman" w:hAnsi="Times New Roman" w:cs="Times New Roman"/>
                <w:color w:val="auto"/>
                <w:sz w:val="21"/>
                <w:szCs w:val="21"/>
              </w:rPr>
              <w:t>（2）噪声影响预测</w:t>
            </w:r>
          </w:p>
          <w:p w14:paraId="20368070">
            <w:pPr>
              <w:tabs>
                <w:tab w:val="left" w:pos="4680"/>
              </w:tabs>
              <w:adjustRightInd w:val="0"/>
              <w:snapToGrid w:val="0"/>
              <w:spacing w:line="360" w:lineRule="auto"/>
              <w:ind w:firstLine="420" w:firstLineChars="200"/>
              <w:rPr>
                <w:color w:val="auto"/>
              </w:rPr>
            </w:pPr>
            <w:r>
              <w:rPr>
                <w:color w:val="auto"/>
              </w:rPr>
              <w:t>噪声预测方法采用《环境影响评价技术导则-声环境》（HJ2.4-2021）推荐的模式，根据已获得的声源源强的数据和各声源到预测点的传播条件资料，计算出噪声从各声源传播到预测点声衰减量，由此计算出各声源单独作用在预测点时产生的等效声级。</w:t>
            </w:r>
          </w:p>
          <w:p w14:paraId="4B2C8519">
            <w:pPr>
              <w:adjustRightInd w:val="0"/>
              <w:snapToGrid w:val="0"/>
              <w:spacing w:line="360" w:lineRule="auto"/>
              <w:ind w:firstLine="420" w:firstLineChars="200"/>
              <w:rPr>
                <w:color w:val="auto"/>
              </w:rPr>
            </w:pPr>
            <w:r>
              <w:rPr>
                <w:rFonts w:hint="eastAsia"/>
                <w:color w:val="auto"/>
              </w:rPr>
              <w:t>①</w:t>
            </w:r>
            <w:r>
              <w:rPr>
                <w:color w:val="auto"/>
              </w:rPr>
              <w:t>建设项目声源在预测点产生的等效声级贡献值（</w:t>
            </w:r>
            <w:r>
              <w:rPr>
                <w:color w:val="auto"/>
              </w:rPr>
              <w:object>
                <v:shape id="_x0000_i1025" o:spt="75" type="#_x0000_t75" style="height:19.35pt;width:20.95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color w:val="auto"/>
              </w:rPr>
              <w:t>）采用多声源在某一点的影响叠加模式：</w:t>
            </w:r>
          </w:p>
          <w:p w14:paraId="2FECC83F">
            <w:pPr>
              <w:adjustRightInd w:val="0"/>
              <w:snapToGrid w:val="0"/>
              <w:spacing w:line="360" w:lineRule="auto"/>
              <w:ind w:firstLine="2100" w:firstLineChars="1000"/>
              <w:rPr>
                <w:color w:val="auto"/>
              </w:rPr>
            </w:pPr>
            <w:r>
              <w:rPr>
                <w:color w:val="auto"/>
              </w:rPr>
              <w:object>
                <v:shape id="_x0000_i1026" o:spt="75" type="#_x0000_t75" style="height:29.2pt;width:124.6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p>
          <w:p w14:paraId="57BE359D">
            <w:pPr>
              <w:tabs>
                <w:tab w:val="left" w:pos="5550"/>
              </w:tabs>
              <w:adjustRightInd w:val="0"/>
              <w:snapToGrid w:val="0"/>
              <w:spacing w:line="360" w:lineRule="auto"/>
              <w:ind w:firstLine="420" w:firstLineChars="200"/>
              <w:rPr>
                <w:color w:val="auto"/>
              </w:rPr>
            </w:pPr>
            <w:r>
              <w:rPr>
                <w:color w:val="auto"/>
              </w:rPr>
              <w:t>式中：</w:t>
            </w:r>
            <w:r>
              <w:rPr>
                <w:color w:val="auto"/>
              </w:rPr>
              <w:object>
                <v:shape id="_x0000_i1027" o:spt="75" type="#_x0000_t75" style="height:19.35pt;width:20.95pt;" o:ole="t" filled="f" o:preferrelative="t" stroked="f" coordsize="21600,21600">
                  <v:path/>
                  <v:fill on="f" focussize="0,0"/>
                  <v:stroke on="f" joinstyle="miter"/>
                  <v:imagedata r:id="rId16" o:title=""/>
                  <o:lock v:ext="edit" aspectratio="t"/>
                  <w10:wrap type="none"/>
                  <w10:anchorlock/>
                </v:shape>
                <o:OLEObject Type="Embed" ProgID="Equation.3" ShapeID="_x0000_i1027" DrawAspect="Content" ObjectID="_1468075727" r:id="rId19">
                  <o:LockedField>false</o:LockedField>
                </o:OLEObject>
              </w:object>
            </w:r>
            <w:r>
              <w:rPr>
                <w:color w:val="auto"/>
              </w:rPr>
              <w:t>—建设项目声源在预测点的等效声级贡献值，dB（A）；</w:t>
            </w:r>
          </w:p>
          <w:p w14:paraId="7FA4013D">
            <w:pPr>
              <w:tabs>
                <w:tab w:val="left" w:pos="5550"/>
              </w:tabs>
              <w:adjustRightInd w:val="0"/>
              <w:snapToGrid w:val="0"/>
              <w:spacing w:line="360" w:lineRule="auto"/>
              <w:ind w:firstLine="1050" w:firstLineChars="500"/>
              <w:rPr>
                <w:color w:val="auto"/>
              </w:rPr>
            </w:pPr>
            <w:r>
              <w:rPr>
                <w:color w:val="auto"/>
              </w:rPr>
              <w:object>
                <v:shape id="_x0000_i1028" o:spt="75" type="#_x0000_t75" style="height:19.35pt;width:19.35pt;" o:ole="t" filled="f" o:preferrelative="t" stroked="f" coordsize="21600,21600">
                  <v:path/>
                  <v:fill on="f" focussize="0,0"/>
                  <v:stroke on="f" joinstyle="miter"/>
                  <v:imagedata r:id="rId21" o:title=""/>
                  <o:lock v:ext="edit" aspectratio="t"/>
                  <w10:wrap type="none"/>
                  <w10:anchorlock/>
                </v:shape>
                <o:OLEObject Type="Embed" ProgID="Equation.3" ShapeID="_x0000_i1028" DrawAspect="Content" ObjectID="_1468075728" r:id="rId20">
                  <o:LockedField>false</o:LockedField>
                </o:OLEObject>
              </w:object>
            </w:r>
            <w:r>
              <w:rPr>
                <w:color w:val="auto"/>
              </w:rPr>
              <w:t>—i声源在预测点产生的A声级，dB（A）；</w:t>
            </w:r>
          </w:p>
          <w:p w14:paraId="732620DA">
            <w:pPr>
              <w:tabs>
                <w:tab w:val="left" w:pos="5550"/>
              </w:tabs>
              <w:adjustRightInd w:val="0"/>
              <w:snapToGrid w:val="0"/>
              <w:spacing w:line="360" w:lineRule="auto"/>
              <w:ind w:firstLine="1050" w:firstLineChars="500"/>
              <w:rPr>
                <w:color w:val="auto"/>
              </w:rPr>
            </w:pPr>
            <w:r>
              <w:rPr>
                <w:color w:val="auto"/>
              </w:rPr>
              <w:object>
                <v:shape id="_x0000_i1029" o:spt="75" type="#_x0000_t75" style="height:13.3pt;width:9.2pt;" o:ole="t" filled="f" o:preferrelative="t" stroked="f" coordsize="21600,21600">
                  <v:path/>
                  <v:fill on="f" focussize="0,0"/>
                  <v:stroke on="f" joinstyle="miter"/>
                  <v:imagedata r:id="rId23" o:title=""/>
                  <o:lock v:ext="edit" aspectratio="t"/>
                  <w10:wrap type="none"/>
                  <w10:anchorlock/>
                </v:shape>
                <o:OLEObject Type="Embed" ProgID="Equation.3" ShapeID="_x0000_i1029" DrawAspect="Content" ObjectID="_1468075729" r:id="rId22">
                  <o:LockedField>false</o:LockedField>
                </o:OLEObject>
              </w:object>
            </w:r>
            <w:r>
              <w:rPr>
                <w:color w:val="auto"/>
              </w:rPr>
              <w:t>—预测计算的时间段，s。</w:t>
            </w:r>
          </w:p>
          <w:p w14:paraId="7A2A35E6">
            <w:pPr>
              <w:tabs>
                <w:tab w:val="left" w:pos="5550"/>
              </w:tabs>
              <w:adjustRightInd w:val="0"/>
              <w:snapToGrid w:val="0"/>
              <w:spacing w:line="360" w:lineRule="auto"/>
              <w:ind w:firstLine="1050" w:firstLineChars="500"/>
              <w:rPr>
                <w:color w:val="auto"/>
              </w:rPr>
            </w:pPr>
            <w:r>
              <w:rPr>
                <w:color w:val="auto"/>
              </w:rPr>
              <w:t>ti——i声源在T时段内的运行时间，s。</w:t>
            </w:r>
          </w:p>
          <w:p w14:paraId="5B18A503">
            <w:pPr>
              <w:tabs>
                <w:tab w:val="left" w:pos="5550"/>
              </w:tabs>
              <w:adjustRightInd w:val="0"/>
              <w:snapToGrid w:val="0"/>
              <w:spacing w:line="360" w:lineRule="auto"/>
              <w:ind w:firstLine="420" w:firstLineChars="200"/>
              <w:rPr>
                <w:color w:val="auto"/>
              </w:rPr>
            </w:pPr>
            <w:r>
              <w:rPr>
                <w:rFonts w:hint="eastAsia"/>
                <w:color w:val="auto"/>
              </w:rPr>
              <w:t>②</w:t>
            </w:r>
            <w:r>
              <w:rPr>
                <w:color w:val="auto"/>
              </w:rPr>
              <w:t>预测点的预测等效声级（</w:t>
            </w:r>
            <w:r>
              <w:rPr>
                <w:color w:val="auto"/>
              </w:rPr>
              <w:object>
                <v:shape id="_x0000_i1030" o:spt="75" type="#_x0000_t75" style="height:19.35pt;width:19.35pt;" o:ole="t" filled="f" o:preferrelative="t" stroked="f" coordsize="21600,21600">
                  <v:path/>
                  <v:fill on="f" focussize="0,0"/>
                  <v:stroke on="f" joinstyle="miter"/>
                  <v:imagedata r:id="rId25" o:title=""/>
                  <o:lock v:ext="edit" aspectratio="t"/>
                  <w10:wrap type="none"/>
                  <w10:anchorlock/>
                </v:shape>
                <o:OLEObject Type="Embed" ProgID="Equation.3" ShapeID="_x0000_i1030" DrawAspect="Content" ObjectID="_1468075730" r:id="rId24">
                  <o:LockedField>false</o:LockedField>
                </o:OLEObject>
              </w:object>
            </w:r>
            <w:r>
              <w:rPr>
                <w:color w:val="auto"/>
              </w:rPr>
              <w:t>）计算公式：</w:t>
            </w:r>
          </w:p>
          <w:p w14:paraId="08F79D2F">
            <w:pPr>
              <w:adjustRightInd w:val="0"/>
              <w:snapToGrid w:val="0"/>
              <w:spacing w:line="360" w:lineRule="auto"/>
              <w:ind w:firstLine="1890" w:firstLineChars="900"/>
              <w:rPr>
                <w:color w:val="auto"/>
              </w:rPr>
            </w:pPr>
            <w:r>
              <w:rPr>
                <w:color w:val="auto"/>
              </w:rPr>
              <w:object>
                <v:shape id="_x0000_i1031" o:spt="75" type="#_x0000_t75" style="height:20.95pt;width:153.2pt;" o:ole="t" filled="f" o:preferrelative="t" stroked="f" coordsize="21600,21600">
                  <v:path/>
                  <v:fill on="f" focussize="0,0"/>
                  <v:stroke on="f" joinstyle="miter"/>
                  <v:imagedata r:id="rId27" o:title=""/>
                  <o:lock v:ext="edit" aspectratio="t"/>
                  <w10:wrap type="none"/>
                  <w10:anchorlock/>
                </v:shape>
                <o:OLEObject Type="Embed" ProgID="Equation.3" ShapeID="_x0000_i1031" DrawAspect="Content" ObjectID="_1468075731" r:id="rId26">
                  <o:LockedField>false</o:LockedField>
                </o:OLEObject>
              </w:object>
            </w:r>
          </w:p>
          <w:p w14:paraId="79507171">
            <w:pPr>
              <w:adjustRightInd w:val="0"/>
              <w:snapToGrid w:val="0"/>
              <w:spacing w:line="360" w:lineRule="auto"/>
              <w:ind w:firstLine="549"/>
              <w:rPr>
                <w:color w:val="auto"/>
              </w:rPr>
            </w:pPr>
            <w:r>
              <w:rPr>
                <w:color w:val="auto"/>
              </w:rPr>
              <w:t>式中：Leqg—建设项目声源在预测点的等效声级贡献值，dB（A）；</w:t>
            </w:r>
          </w:p>
          <w:p w14:paraId="18903154">
            <w:pPr>
              <w:adjustRightInd w:val="0"/>
              <w:snapToGrid w:val="0"/>
              <w:spacing w:line="360" w:lineRule="auto"/>
              <w:ind w:firstLine="1106" w:firstLineChars="527"/>
              <w:rPr>
                <w:color w:val="auto"/>
              </w:rPr>
            </w:pPr>
            <w:r>
              <w:rPr>
                <w:color w:val="auto"/>
              </w:rPr>
              <w:t>Leqb—预测点的背景值，dB（A）。</w:t>
            </w:r>
          </w:p>
          <w:p w14:paraId="63DBE0C7">
            <w:pPr>
              <w:tabs>
                <w:tab w:val="left" w:pos="5550"/>
              </w:tabs>
              <w:adjustRightInd w:val="0"/>
              <w:snapToGrid w:val="0"/>
              <w:spacing w:line="360" w:lineRule="auto"/>
              <w:ind w:firstLine="420" w:firstLineChars="200"/>
              <w:rPr>
                <w:color w:val="auto"/>
              </w:rPr>
            </w:pPr>
            <w:r>
              <w:rPr>
                <w:rFonts w:hint="eastAsia"/>
                <w:color w:val="auto"/>
              </w:rPr>
              <w:t>③</w:t>
            </w:r>
            <w:r>
              <w:rPr>
                <w:color w:val="auto"/>
              </w:rPr>
              <w:t>户外声传播衰减计算</w:t>
            </w:r>
          </w:p>
          <w:p w14:paraId="55781A74">
            <w:pPr>
              <w:tabs>
                <w:tab w:val="left" w:pos="5550"/>
              </w:tabs>
              <w:adjustRightInd w:val="0"/>
              <w:snapToGrid w:val="0"/>
              <w:spacing w:line="360" w:lineRule="auto"/>
              <w:ind w:firstLine="420" w:firstLineChars="200"/>
              <w:rPr>
                <w:color w:val="auto"/>
              </w:rPr>
            </w:pPr>
            <w:r>
              <w:rPr>
                <w:color w:val="auto"/>
              </w:rPr>
              <w:t>户外声传播衰减包括几何发散（Adiv）、大气吸收（Aatm）、地面效应（Agr）、屏障屏蔽（Abar）、其他多方面效应（Amisc）引起的衰减。</w:t>
            </w:r>
          </w:p>
          <w:p w14:paraId="05A801E6">
            <w:pPr>
              <w:tabs>
                <w:tab w:val="left" w:pos="5550"/>
              </w:tabs>
              <w:adjustRightInd w:val="0"/>
              <w:snapToGrid w:val="0"/>
              <w:spacing w:line="360" w:lineRule="auto"/>
              <w:ind w:firstLine="420" w:firstLineChars="200"/>
              <w:rPr>
                <w:color w:val="auto"/>
              </w:rPr>
            </w:pPr>
            <w:r>
              <w:rPr>
                <w:color w:val="auto"/>
              </w:rPr>
              <w:t>a.在已知距离无指向性点声源参考点r0 处的倍频带（用63Hz 到8KHz的8 个标称倍频带中心频率）声压级Lp(r0)和计算出参考点(r0)和预测点(r)处之间的户外声传播衰减后，预测点8 个倍频带声压级可用下式计算：</w:t>
            </w:r>
          </w:p>
          <w:p w14:paraId="274D711C">
            <w:pPr>
              <w:tabs>
                <w:tab w:val="left" w:pos="5550"/>
              </w:tabs>
              <w:adjustRightInd w:val="0"/>
              <w:snapToGrid w:val="0"/>
              <w:spacing w:line="360" w:lineRule="auto"/>
              <w:ind w:firstLine="420" w:firstLineChars="200"/>
              <w:jc w:val="center"/>
              <w:rPr>
                <w:color w:val="auto"/>
              </w:rPr>
            </w:pPr>
            <w:r>
              <w:rPr>
                <w:color w:val="auto"/>
              </w:rPr>
              <w:drawing>
                <wp:inline distT="0" distB="0" distL="114300" distR="114300">
                  <wp:extent cx="3194050" cy="316230"/>
                  <wp:effectExtent l="0" t="0" r="6350" b="7620"/>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28"/>
                          <a:stretch>
                            <a:fillRect/>
                          </a:stretch>
                        </pic:blipFill>
                        <pic:spPr>
                          <a:xfrm>
                            <a:off x="0" y="0"/>
                            <a:ext cx="3194050" cy="316230"/>
                          </a:xfrm>
                          <a:prstGeom prst="rect">
                            <a:avLst/>
                          </a:prstGeom>
                          <a:noFill/>
                          <a:ln>
                            <a:noFill/>
                          </a:ln>
                        </pic:spPr>
                      </pic:pic>
                    </a:graphicData>
                  </a:graphic>
                </wp:inline>
              </w:drawing>
            </w:r>
          </w:p>
          <w:p w14:paraId="14052C2E">
            <w:pPr>
              <w:tabs>
                <w:tab w:val="left" w:pos="5550"/>
              </w:tabs>
              <w:adjustRightInd w:val="0"/>
              <w:snapToGrid w:val="0"/>
              <w:spacing w:line="360" w:lineRule="auto"/>
              <w:ind w:firstLine="420" w:firstLineChars="200"/>
              <w:rPr>
                <w:color w:val="auto"/>
              </w:rPr>
            </w:pPr>
            <w:r>
              <w:rPr>
                <w:color w:val="auto"/>
              </w:rPr>
              <w:t>b.预测点的A 声级LA(r)可按下式计算，即将8 个倍频带声压级合成，计算出预测点的A 声级(LA(r))。</w:t>
            </w:r>
          </w:p>
          <w:p w14:paraId="1F4A2883">
            <w:pPr>
              <w:tabs>
                <w:tab w:val="left" w:pos="5550"/>
              </w:tabs>
              <w:adjustRightInd w:val="0"/>
              <w:snapToGrid w:val="0"/>
              <w:spacing w:line="360" w:lineRule="auto"/>
              <w:ind w:firstLine="420" w:firstLineChars="200"/>
              <w:jc w:val="center"/>
              <w:rPr>
                <w:color w:val="auto"/>
              </w:rPr>
            </w:pPr>
            <w:r>
              <w:rPr>
                <w:color w:val="auto"/>
              </w:rPr>
              <w:t></w:t>
            </w:r>
            <w:r>
              <w:rPr>
                <w:color w:val="auto"/>
              </w:rPr>
              <w:drawing>
                <wp:inline distT="0" distB="0" distL="114300" distR="114300">
                  <wp:extent cx="2018030" cy="487680"/>
                  <wp:effectExtent l="0" t="0" r="1270" b="7620"/>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pic:cNvPicPr>
                        </pic:nvPicPr>
                        <pic:blipFill>
                          <a:blip r:embed="rId29"/>
                          <a:stretch>
                            <a:fillRect/>
                          </a:stretch>
                        </pic:blipFill>
                        <pic:spPr>
                          <a:xfrm>
                            <a:off x="0" y="0"/>
                            <a:ext cx="2018030" cy="487680"/>
                          </a:xfrm>
                          <a:prstGeom prst="rect">
                            <a:avLst/>
                          </a:prstGeom>
                          <a:noFill/>
                          <a:ln>
                            <a:noFill/>
                          </a:ln>
                        </pic:spPr>
                      </pic:pic>
                    </a:graphicData>
                  </a:graphic>
                </wp:inline>
              </w:drawing>
            </w:r>
          </w:p>
          <w:p w14:paraId="62C10923">
            <w:pPr>
              <w:tabs>
                <w:tab w:val="left" w:pos="5550"/>
              </w:tabs>
              <w:adjustRightInd w:val="0"/>
              <w:snapToGrid w:val="0"/>
              <w:spacing w:line="360" w:lineRule="auto"/>
              <w:ind w:firstLine="420" w:firstLineChars="200"/>
              <w:rPr>
                <w:color w:val="auto"/>
              </w:rPr>
            </w:pPr>
            <w:r>
              <w:rPr>
                <w:color w:val="auto"/>
              </w:rPr>
              <w:t>式中：L Pi (r)—预测点（r）处，第i 倍频带声压级，dB；</w:t>
            </w:r>
          </w:p>
          <w:p w14:paraId="5F945004">
            <w:pPr>
              <w:tabs>
                <w:tab w:val="left" w:pos="5550"/>
              </w:tabs>
              <w:adjustRightInd w:val="0"/>
              <w:snapToGrid w:val="0"/>
              <w:spacing w:line="360" w:lineRule="auto"/>
              <w:ind w:firstLine="1260" w:firstLineChars="600"/>
              <w:rPr>
                <w:color w:val="auto"/>
              </w:rPr>
            </w:pPr>
            <w:r>
              <w:rPr>
                <w:color w:val="auto"/>
              </w:rPr>
              <w:t>ΔLi—第i 倍频带的A 计权网络修正值，dB。</w:t>
            </w:r>
          </w:p>
          <w:p w14:paraId="606BB655">
            <w:pPr>
              <w:tabs>
                <w:tab w:val="left" w:pos="5550"/>
              </w:tabs>
              <w:adjustRightInd w:val="0"/>
              <w:snapToGrid w:val="0"/>
              <w:spacing w:line="360" w:lineRule="auto"/>
              <w:ind w:firstLine="420" w:firstLineChars="200"/>
              <w:rPr>
                <w:color w:val="auto"/>
              </w:rPr>
            </w:pPr>
            <w:r>
              <w:rPr>
                <w:color w:val="auto"/>
              </w:rPr>
              <w:t>c．在只考虑几何发散衰减时，可用如下公式计算：</w:t>
            </w:r>
          </w:p>
          <w:p w14:paraId="5207DF45">
            <w:pPr>
              <w:tabs>
                <w:tab w:val="left" w:pos="720"/>
              </w:tabs>
              <w:autoSpaceDE w:val="0"/>
              <w:autoSpaceDN w:val="0"/>
              <w:adjustRightInd w:val="0"/>
              <w:snapToGrid w:val="0"/>
              <w:spacing w:line="360" w:lineRule="auto"/>
              <w:ind w:firstLine="420" w:firstLineChars="200"/>
              <w:rPr>
                <w:color w:val="auto"/>
              </w:rPr>
            </w:pPr>
            <w:r>
              <w:rPr>
                <w:color w:val="auto"/>
              </w:rPr>
              <w:drawing>
                <wp:inline distT="0" distB="0" distL="114300" distR="114300">
                  <wp:extent cx="1470025" cy="341630"/>
                  <wp:effectExtent l="0" t="0" r="15875" b="1270"/>
                  <wp:docPr id="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pic:cNvPicPr>
                            <a:picLocks noChangeAspect="1"/>
                          </pic:cNvPicPr>
                        </pic:nvPicPr>
                        <pic:blipFill>
                          <a:blip r:embed="rId30"/>
                          <a:stretch>
                            <a:fillRect/>
                          </a:stretch>
                        </pic:blipFill>
                        <pic:spPr>
                          <a:xfrm>
                            <a:off x="0" y="0"/>
                            <a:ext cx="1470025" cy="341630"/>
                          </a:xfrm>
                          <a:prstGeom prst="rect">
                            <a:avLst/>
                          </a:prstGeom>
                          <a:noFill/>
                          <a:ln>
                            <a:noFill/>
                          </a:ln>
                        </pic:spPr>
                      </pic:pic>
                    </a:graphicData>
                  </a:graphic>
                </wp:inline>
              </w:drawing>
            </w:r>
          </w:p>
          <w:p w14:paraId="0ED1241E">
            <w:pPr>
              <w:tabs>
                <w:tab w:val="left" w:pos="720"/>
              </w:tabs>
              <w:autoSpaceDE w:val="0"/>
              <w:autoSpaceDN w:val="0"/>
              <w:adjustRightInd w:val="0"/>
              <w:snapToGrid w:val="0"/>
              <w:spacing w:line="360" w:lineRule="auto"/>
              <w:ind w:firstLine="420" w:firstLineChars="200"/>
              <w:rPr>
                <w:color w:val="auto"/>
              </w:rPr>
            </w:pPr>
            <w:r>
              <w:rPr>
                <w:rFonts w:hint="eastAsia" w:ascii="宋体" w:hAnsi="宋体" w:cs="宋体"/>
                <w:color w:val="auto"/>
              </w:rPr>
              <w:t>④</w:t>
            </w:r>
            <w:r>
              <w:rPr>
                <w:color w:val="auto"/>
              </w:rPr>
              <w:t>预测结果和分析</w:t>
            </w:r>
          </w:p>
          <w:p w14:paraId="5F62F056">
            <w:pPr>
              <w:tabs>
                <w:tab w:val="left" w:pos="720"/>
              </w:tabs>
              <w:autoSpaceDE w:val="0"/>
              <w:autoSpaceDN w:val="0"/>
              <w:adjustRightInd w:val="0"/>
              <w:snapToGrid w:val="0"/>
              <w:spacing w:line="360" w:lineRule="auto"/>
              <w:ind w:firstLine="420" w:firstLineChars="200"/>
              <w:rPr>
                <w:color w:val="auto"/>
              </w:rPr>
            </w:pPr>
            <w:r>
              <w:rPr>
                <w:color w:val="auto"/>
              </w:rPr>
              <w:t>根据《环境影响评价技术导则-声环境》（HJ2.4-20</w:t>
            </w:r>
            <w:r>
              <w:rPr>
                <w:rFonts w:hint="eastAsia"/>
                <w:color w:val="auto"/>
              </w:rPr>
              <w:t>21</w:t>
            </w:r>
            <w:r>
              <w:rPr>
                <w:color w:val="auto"/>
              </w:rPr>
              <w:t>）推荐的噪声衰减模式，主要声源在各评价点处的声级计算结果详见</w:t>
            </w:r>
            <w:r>
              <w:rPr>
                <w:rFonts w:hint="eastAsia"/>
                <w:color w:val="auto"/>
              </w:rPr>
              <w:t>下</w:t>
            </w:r>
            <w:r>
              <w:rPr>
                <w:color w:val="auto"/>
              </w:rPr>
              <w:t>表。</w:t>
            </w:r>
          </w:p>
          <w:p w14:paraId="082F70DC">
            <w:pPr>
              <w:adjustRightInd w:val="0"/>
              <w:snapToGrid w:val="0"/>
              <w:jc w:val="center"/>
              <w:rPr>
                <w:i/>
                <w:iCs/>
                <w:color w:val="auto"/>
                <w:u w:val="single"/>
              </w:rPr>
            </w:pPr>
            <w:r>
              <w:rPr>
                <w:i/>
                <w:iCs/>
                <w:color w:val="auto"/>
                <w:u w:val="single"/>
              </w:rPr>
              <w:t>厂界噪声贡献值统计表  单位：dB（A）</w:t>
            </w:r>
          </w:p>
          <w:tbl>
            <w:tblPr>
              <w:tblStyle w:val="24"/>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369"/>
              <w:gridCol w:w="1813"/>
              <w:gridCol w:w="923"/>
              <w:gridCol w:w="1013"/>
              <w:gridCol w:w="847"/>
              <w:gridCol w:w="845"/>
            </w:tblGrid>
            <w:tr w14:paraId="54A94D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515" w:type="pct"/>
                  <w:vMerge w:val="restart"/>
                  <w:tcBorders>
                    <w:tl2br w:val="nil"/>
                    <w:tr2bl w:val="nil"/>
                  </w:tcBorders>
                  <w:vAlign w:val="center"/>
                </w:tcPr>
                <w:p w14:paraId="65925653">
                  <w:pPr>
                    <w:widowControl/>
                    <w:adjustRightInd w:val="0"/>
                    <w:snapToGrid w:val="0"/>
                    <w:jc w:val="center"/>
                    <w:rPr>
                      <w:i/>
                      <w:iCs/>
                      <w:color w:val="auto"/>
                      <w:sz w:val="18"/>
                      <w:szCs w:val="18"/>
                      <w:highlight w:val="none"/>
                      <w:u w:val="single"/>
                    </w:rPr>
                  </w:pPr>
                  <w:r>
                    <w:rPr>
                      <w:i/>
                      <w:iCs/>
                      <w:color w:val="auto"/>
                      <w:sz w:val="18"/>
                      <w:szCs w:val="18"/>
                      <w:highlight w:val="none"/>
                      <w:u w:val="single"/>
                    </w:rPr>
                    <w:t>预测点</w:t>
                  </w:r>
                </w:p>
              </w:tc>
              <w:tc>
                <w:tcPr>
                  <w:tcW w:w="1160" w:type="pct"/>
                  <w:vMerge w:val="restart"/>
                  <w:tcBorders>
                    <w:tl2br w:val="nil"/>
                    <w:tr2bl w:val="nil"/>
                  </w:tcBorders>
                  <w:vAlign w:val="center"/>
                </w:tcPr>
                <w:p w14:paraId="56F3104D">
                  <w:pPr>
                    <w:widowControl/>
                    <w:adjustRightInd w:val="0"/>
                    <w:snapToGrid w:val="0"/>
                    <w:jc w:val="center"/>
                    <w:rPr>
                      <w:i/>
                      <w:iCs/>
                      <w:color w:val="auto"/>
                      <w:sz w:val="18"/>
                      <w:szCs w:val="18"/>
                      <w:highlight w:val="none"/>
                      <w:u w:val="single"/>
                    </w:rPr>
                  </w:pPr>
                  <w:r>
                    <w:rPr>
                      <w:rFonts w:hint="eastAsia"/>
                      <w:i/>
                      <w:iCs/>
                      <w:color w:val="auto"/>
                      <w:sz w:val="18"/>
                      <w:szCs w:val="18"/>
                      <w:highlight w:val="none"/>
                      <w:u w:val="single"/>
                    </w:rPr>
                    <w:t>厂房与厂界的距离</w:t>
                  </w:r>
                  <w:r>
                    <w:rPr>
                      <w:i/>
                      <w:iCs/>
                      <w:color w:val="auto"/>
                      <w:sz w:val="18"/>
                      <w:szCs w:val="18"/>
                      <w:highlight w:val="none"/>
                      <w:u w:val="single"/>
                    </w:rPr>
                    <w:t>（m）</w:t>
                  </w:r>
                </w:p>
              </w:tc>
              <w:tc>
                <w:tcPr>
                  <w:tcW w:w="1240" w:type="pct"/>
                  <w:gridSpan w:val="2"/>
                  <w:tcBorders>
                    <w:tl2br w:val="nil"/>
                    <w:tr2bl w:val="nil"/>
                  </w:tcBorders>
                  <w:vAlign w:val="center"/>
                </w:tcPr>
                <w:p w14:paraId="13AE7CD5">
                  <w:pPr>
                    <w:widowControl/>
                    <w:adjustRightInd w:val="0"/>
                    <w:snapToGrid w:val="0"/>
                    <w:jc w:val="center"/>
                    <w:rPr>
                      <w:i/>
                      <w:iCs/>
                      <w:color w:val="auto"/>
                      <w:sz w:val="18"/>
                      <w:szCs w:val="18"/>
                      <w:highlight w:val="none"/>
                      <w:u w:val="single"/>
                    </w:rPr>
                  </w:pPr>
                  <w:r>
                    <w:rPr>
                      <w:rFonts w:hint="eastAsia"/>
                      <w:i/>
                      <w:iCs/>
                      <w:color w:val="auto"/>
                      <w:sz w:val="18"/>
                      <w:szCs w:val="18"/>
                      <w:highlight w:val="none"/>
                      <w:u w:val="single"/>
                    </w:rPr>
                    <w:t>贡献</w:t>
                  </w:r>
                  <w:r>
                    <w:rPr>
                      <w:i/>
                      <w:iCs/>
                      <w:color w:val="auto"/>
                      <w:sz w:val="18"/>
                      <w:szCs w:val="18"/>
                      <w:highlight w:val="none"/>
                      <w:u w:val="single"/>
                    </w:rPr>
                    <w:t>值dB(A)</w:t>
                  </w:r>
                </w:p>
              </w:tc>
              <w:tc>
                <w:tcPr>
                  <w:tcW w:w="1083" w:type="pct"/>
                  <w:gridSpan w:val="2"/>
                  <w:tcBorders>
                    <w:tl2br w:val="nil"/>
                    <w:tr2bl w:val="nil"/>
                  </w:tcBorders>
                  <w:vAlign w:val="center"/>
                </w:tcPr>
                <w:p w14:paraId="64C7E4EC">
                  <w:pPr>
                    <w:widowControl/>
                    <w:adjustRightInd w:val="0"/>
                    <w:snapToGrid w:val="0"/>
                    <w:jc w:val="center"/>
                    <w:rPr>
                      <w:i/>
                      <w:iCs/>
                      <w:color w:val="auto"/>
                      <w:sz w:val="18"/>
                      <w:szCs w:val="18"/>
                      <w:highlight w:val="none"/>
                      <w:u w:val="single"/>
                    </w:rPr>
                  </w:pPr>
                  <w:r>
                    <w:rPr>
                      <w:rFonts w:hint="eastAsia"/>
                      <w:i/>
                      <w:iCs/>
                      <w:color w:val="auto"/>
                      <w:sz w:val="18"/>
                      <w:szCs w:val="18"/>
                      <w:highlight w:val="none"/>
                      <w:u w:val="single"/>
                    </w:rPr>
                    <w:t>标准值</w:t>
                  </w:r>
                  <w:r>
                    <w:rPr>
                      <w:i/>
                      <w:iCs/>
                      <w:color w:val="auto"/>
                      <w:sz w:val="18"/>
                      <w:szCs w:val="18"/>
                      <w:highlight w:val="none"/>
                      <w:u w:val="single"/>
                    </w:rPr>
                    <w:t>dB(A)</w:t>
                  </w:r>
                </w:p>
              </w:tc>
            </w:tr>
            <w:tr w14:paraId="257568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3" w:hRule="atLeast"/>
                <w:jc w:val="center"/>
              </w:trPr>
              <w:tc>
                <w:tcPr>
                  <w:tcW w:w="1515" w:type="pct"/>
                  <w:vMerge w:val="continue"/>
                  <w:tcBorders>
                    <w:tl2br w:val="nil"/>
                    <w:tr2bl w:val="nil"/>
                  </w:tcBorders>
                  <w:vAlign w:val="center"/>
                </w:tcPr>
                <w:p w14:paraId="64EE203A">
                  <w:pPr>
                    <w:widowControl/>
                    <w:adjustRightInd w:val="0"/>
                    <w:snapToGrid w:val="0"/>
                    <w:jc w:val="center"/>
                    <w:rPr>
                      <w:i/>
                      <w:iCs/>
                      <w:color w:val="auto"/>
                      <w:sz w:val="18"/>
                      <w:szCs w:val="18"/>
                      <w:highlight w:val="none"/>
                      <w:u w:val="single"/>
                    </w:rPr>
                  </w:pPr>
                </w:p>
              </w:tc>
              <w:tc>
                <w:tcPr>
                  <w:tcW w:w="1160" w:type="pct"/>
                  <w:vMerge w:val="continue"/>
                  <w:tcBorders>
                    <w:tl2br w:val="nil"/>
                    <w:tr2bl w:val="nil"/>
                  </w:tcBorders>
                  <w:vAlign w:val="center"/>
                </w:tcPr>
                <w:p w14:paraId="5B5A7618">
                  <w:pPr>
                    <w:widowControl/>
                    <w:adjustRightInd w:val="0"/>
                    <w:snapToGrid w:val="0"/>
                    <w:jc w:val="center"/>
                    <w:rPr>
                      <w:i/>
                      <w:iCs/>
                      <w:color w:val="auto"/>
                      <w:sz w:val="18"/>
                      <w:szCs w:val="18"/>
                      <w:highlight w:val="none"/>
                      <w:u w:val="single"/>
                    </w:rPr>
                  </w:pPr>
                </w:p>
              </w:tc>
              <w:tc>
                <w:tcPr>
                  <w:tcW w:w="591" w:type="pct"/>
                  <w:tcBorders>
                    <w:tl2br w:val="nil"/>
                    <w:tr2bl w:val="nil"/>
                  </w:tcBorders>
                  <w:vAlign w:val="center"/>
                </w:tcPr>
                <w:p w14:paraId="28827F1D">
                  <w:pPr>
                    <w:widowControl/>
                    <w:adjustRightInd w:val="0"/>
                    <w:snapToGrid w:val="0"/>
                    <w:jc w:val="center"/>
                    <w:rPr>
                      <w:i/>
                      <w:iCs/>
                      <w:color w:val="auto"/>
                      <w:sz w:val="18"/>
                      <w:szCs w:val="18"/>
                      <w:highlight w:val="none"/>
                      <w:u w:val="single"/>
                    </w:rPr>
                  </w:pPr>
                  <w:r>
                    <w:rPr>
                      <w:i/>
                      <w:iCs/>
                      <w:color w:val="auto"/>
                      <w:sz w:val="18"/>
                      <w:szCs w:val="18"/>
                      <w:highlight w:val="none"/>
                      <w:u w:val="single"/>
                    </w:rPr>
                    <w:t>昼间</w:t>
                  </w:r>
                </w:p>
              </w:tc>
              <w:tc>
                <w:tcPr>
                  <w:tcW w:w="649" w:type="pct"/>
                  <w:tcBorders>
                    <w:tl2br w:val="nil"/>
                    <w:tr2bl w:val="nil"/>
                  </w:tcBorders>
                  <w:vAlign w:val="center"/>
                </w:tcPr>
                <w:p w14:paraId="70187228">
                  <w:pPr>
                    <w:widowControl/>
                    <w:adjustRightInd w:val="0"/>
                    <w:snapToGrid w:val="0"/>
                    <w:jc w:val="center"/>
                    <w:rPr>
                      <w:i/>
                      <w:iCs/>
                      <w:color w:val="auto"/>
                      <w:sz w:val="18"/>
                      <w:szCs w:val="18"/>
                      <w:highlight w:val="none"/>
                      <w:u w:val="single"/>
                    </w:rPr>
                  </w:pPr>
                  <w:r>
                    <w:rPr>
                      <w:rFonts w:hint="eastAsia"/>
                      <w:i/>
                      <w:iCs/>
                      <w:color w:val="auto"/>
                      <w:sz w:val="18"/>
                      <w:szCs w:val="18"/>
                      <w:highlight w:val="none"/>
                      <w:u w:val="single"/>
                    </w:rPr>
                    <w:t>夜间</w:t>
                  </w:r>
                </w:p>
              </w:tc>
              <w:tc>
                <w:tcPr>
                  <w:tcW w:w="542" w:type="pct"/>
                  <w:tcBorders>
                    <w:tl2br w:val="nil"/>
                    <w:tr2bl w:val="nil"/>
                  </w:tcBorders>
                  <w:vAlign w:val="center"/>
                </w:tcPr>
                <w:p w14:paraId="04A83911">
                  <w:pPr>
                    <w:widowControl/>
                    <w:adjustRightInd w:val="0"/>
                    <w:snapToGrid w:val="0"/>
                    <w:jc w:val="center"/>
                    <w:rPr>
                      <w:i/>
                      <w:iCs/>
                      <w:color w:val="auto"/>
                      <w:sz w:val="18"/>
                      <w:szCs w:val="18"/>
                      <w:highlight w:val="none"/>
                      <w:u w:val="single"/>
                    </w:rPr>
                  </w:pPr>
                  <w:r>
                    <w:rPr>
                      <w:i/>
                      <w:iCs/>
                      <w:color w:val="auto"/>
                      <w:sz w:val="18"/>
                      <w:szCs w:val="18"/>
                      <w:highlight w:val="none"/>
                      <w:u w:val="single"/>
                    </w:rPr>
                    <w:t>昼间</w:t>
                  </w:r>
                </w:p>
              </w:tc>
              <w:tc>
                <w:tcPr>
                  <w:tcW w:w="541" w:type="pct"/>
                  <w:tcBorders>
                    <w:tl2br w:val="nil"/>
                    <w:tr2bl w:val="nil"/>
                  </w:tcBorders>
                  <w:vAlign w:val="center"/>
                </w:tcPr>
                <w:p w14:paraId="51736889">
                  <w:pPr>
                    <w:widowControl/>
                    <w:adjustRightInd w:val="0"/>
                    <w:snapToGrid w:val="0"/>
                    <w:rPr>
                      <w:i/>
                      <w:iCs/>
                      <w:color w:val="auto"/>
                      <w:sz w:val="18"/>
                      <w:szCs w:val="18"/>
                      <w:highlight w:val="none"/>
                      <w:u w:val="single"/>
                    </w:rPr>
                  </w:pPr>
                  <w:r>
                    <w:rPr>
                      <w:rFonts w:hint="eastAsia"/>
                      <w:i/>
                      <w:iCs/>
                      <w:color w:val="auto"/>
                      <w:sz w:val="18"/>
                      <w:szCs w:val="18"/>
                      <w:highlight w:val="none"/>
                      <w:u w:val="single"/>
                    </w:rPr>
                    <w:t>夜间</w:t>
                  </w:r>
                </w:p>
              </w:tc>
            </w:tr>
            <w:tr w14:paraId="2E021D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4" w:hRule="atLeast"/>
                <w:jc w:val="center"/>
              </w:trPr>
              <w:tc>
                <w:tcPr>
                  <w:tcW w:w="1515" w:type="pct"/>
                  <w:tcBorders>
                    <w:tl2br w:val="nil"/>
                    <w:tr2bl w:val="nil"/>
                  </w:tcBorders>
                  <w:vAlign w:val="center"/>
                </w:tcPr>
                <w:p w14:paraId="21783E7D">
                  <w:pPr>
                    <w:adjustRightInd w:val="0"/>
                    <w:snapToGrid w:val="0"/>
                    <w:jc w:val="center"/>
                    <w:rPr>
                      <w:i/>
                      <w:iCs/>
                      <w:color w:val="auto"/>
                      <w:sz w:val="18"/>
                      <w:szCs w:val="18"/>
                      <w:highlight w:val="none"/>
                      <w:u w:val="single"/>
                    </w:rPr>
                  </w:pPr>
                  <w:r>
                    <w:rPr>
                      <w:rFonts w:hint="eastAsia"/>
                      <w:i/>
                      <w:iCs/>
                      <w:color w:val="auto"/>
                      <w:sz w:val="18"/>
                      <w:szCs w:val="18"/>
                      <w:highlight w:val="none"/>
                      <w:u w:val="single"/>
                    </w:rPr>
                    <w:t>厂界</w:t>
                  </w:r>
                  <w:r>
                    <w:rPr>
                      <w:i/>
                      <w:iCs/>
                      <w:color w:val="auto"/>
                      <w:sz w:val="18"/>
                      <w:szCs w:val="18"/>
                      <w:highlight w:val="none"/>
                      <w:u w:val="single"/>
                    </w:rPr>
                    <w:t>东</w:t>
                  </w:r>
                  <w:r>
                    <w:rPr>
                      <w:rFonts w:hint="eastAsia"/>
                      <w:i/>
                      <w:iCs/>
                      <w:color w:val="auto"/>
                      <w:sz w:val="18"/>
                      <w:szCs w:val="18"/>
                      <w:highlight w:val="none"/>
                      <w:u w:val="single"/>
                    </w:rPr>
                    <w:t>1m处</w:t>
                  </w:r>
                </w:p>
              </w:tc>
              <w:tc>
                <w:tcPr>
                  <w:tcW w:w="1160" w:type="pct"/>
                  <w:tcBorders>
                    <w:tl2br w:val="nil"/>
                    <w:tr2bl w:val="nil"/>
                  </w:tcBorders>
                  <w:vAlign w:val="center"/>
                </w:tcPr>
                <w:p w14:paraId="354955DF">
                  <w:pPr>
                    <w:adjustRightInd w:val="0"/>
                    <w:snapToGrid w:val="0"/>
                    <w:jc w:val="center"/>
                    <w:rPr>
                      <w:i/>
                      <w:iCs/>
                      <w:color w:val="auto"/>
                      <w:sz w:val="18"/>
                      <w:szCs w:val="18"/>
                      <w:highlight w:val="none"/>
                      <w:u w:val="single"/>
                    </w:rPr>
                  </w:pPr>
                  <w:r>
                    <w:rPr>
                      <w:rFonts w:hint="eastAsia"/>
                      <w:i/>
                      <w:iCs/>
                      <w:color w:val="auto"/>
                      <w:sz w:val="18"/>
                      <w:szCs w:val="18"/>
                      <w:highlight w:val="none"/>
                      <w:u w:val="single"/>
                    </w:rPr>
                    <w:t>53</w:t>
                  </w:r>
                </w:p>
              </w:tc>
              <w:tc>
                <w:tcPr>
                  <w:tcW w:w="591" w:type="pct"/>
                  <w:tcBorders>
                    <w:tl2br w:val="nil"/>
                    <w:tr2bl w:val="nil"/>
                  </w:tcBorders>
                  <w:vAlign w:val="center"/>
                </w:tcPr>
                <w:p w14:paraId="7D70BA88">
                  <w:pPr>
                    <w:adjustRightInd w:val="0"/>
                    <w:snapToGrid w:val="0"/>
                    <w:jc w:val="center"/>
                    <w:rPr>
                      <w:i/>
                      <w:iCs/>
                      <w:color w:val="auto"/>
                      <w:sz w:val="18"/>
                      <w:szCs w:val="18"/>
                      <w:highlight w:val="none"/>
                      <w:u w:val="single"/>
                    </w:rPr>
                  </w:pPr>
                  <w:r>
                    <w:rPr>
                      <w:rFonts w:hint="eastAsia"/>
                      <w:i/>
                      <w:iCs/>
                      <w:color w:val="auto"/>
                      <w:sz w:val="18"/>
                      <w:szCs w:val="18"/>
                      <w:highlight w:val="none"/>
                      <w:u w:val="single"/>
                    </w:rPr>
                    <w:t>27</w:t>
                  </w:r>
                </w:p>
              </w:tc>
              <w:tc>
                <w:tcPr>
                  <w:tcW w:w="649" w:type="pct"/>
                  <w:tcBorders>
                    <w:tl2br w:val="nil"/>
                    <w:tr2bl w:val="nil"/>
                  </w:tcBorders>
                  <w:vAlign w:val="center"/>
                </w:tcPr>
                <w:p w14:paraId="0240839B">
                  <w:pPr>
                    <w:adjustRightInd w:val="0"/>
                    <w:snapToGrid w:val="0"/>
                    <w:jc w:val="center"/>
                    <w:rPr>
                      <w:i/>
                      <w:iCs/>
                      <w:color w:val="auto"/>
                      <w:sz w:val="18"/>
                      <w:szCs w:val="18"/>
                      <w:highlight w:val="none"/>
                      <w:u w:val="single"/>
                    </w:rPr>
                  </w:pPr>
                  <w:r>
                    <w:rPr>
                      <w:rFonts w:hint="eastAsia"/>
                      <w:i/>
                      <w:iCs/>
                      <w:color w:val="auto"/>
                      <w:sz w:val="18"/>
                      <w:szCs w:val="18"/>
                      <w:highlight w:val="none"/>
                      <w:u w:val="single"/>
                    </w:rPr>
                    <w:t>27</w:t>
                  </w:r>
                </w:p>
              </w:tc>
              <w:tc>
                <w:tcPr>
                  <w:tcW w:w="542" w:type="pct"/>
                  <w:tcBorders>
                    <w:tl2br w:val="nil"/>
                    <w:tr2bl w:val="nil"/>
                  </w:tcBorders>
                  <w:vAlign w:val="center"/>
                </w:tcPr>
                <w:p w14:paraId="008248C3">
                  <w:pPr>
                    <w:adjustRightInd w:val="0"/>
                    <w:snapToGrid w:val="0"/>
                    <w:jc w:val="center"/>
                    <w:rPr>
                      <w:i/>
                      <w:iCs/>
                      <w:color w:val="auto"/>
                      <w:sz w:val="18"/>
                      <w:szCs w:val="18"/>
                      <w:highlight w:val="none"/>
                      <w:u w:val="single"/>
                    </w:rPr>
                  </w:pPr>
                  <w:r>
                    <w:rPr>
                      <w:rFonts w:hint="eastAsia"/>
                      <w:i/>
                      <w:iCs/>
                      <w:color w:val="auto"/>
                      <w:sz w:val="18"/>
                      <w:szCs w:val="18"/>
                      <w:highlight w:val="none"/>
                      <w:u w:val="single"/>
                    </w:rPr>
                    <w:t>60</w:t>
                  </w:r>
                </w:p>
              </w:tc>
              <w:tc>
                <w:tcPr>
                  <w:tcW w:w="541" w:type="pct"/>
                  <w:tcBorders>
                    <w:tl2br w:val="nil"/>
                    <w:tr2bl w:val="nil"/>
                  </w:tcBorders>
                  <w:vAlign w:val="center"/>
                </w:tcPr>
                <w:p w14:paraId="34570620">
                  <w:pPr>
                    <w:adjustRightInd w:val="0"/>
                    <w:snapToGrid w:val="0"/>
                    <w:jc w:val="center"/>
                    <w:rPr>
                      <w:i/>
                      <w:iCs/>
                      <w:color w:val="auto"/>
                      <w:sz w:val="18"/>
                      <w:szCs w:val="18"/>
                      <w:highlight w:val="none"/>
                      <w:u w:val="single"/>
                    </w:rPr>
                  </w:pPr>
                  <w:r>
                    <w:rPr>
                      <w:rFonts w:hint="eastAsia"/>
                      <w:i/>
                      <w:iCs/>
                      <w:color w:val="auto"/>
                      <w:sz w:val="18"/>
                      <w:szCs w:val="18"/>
                      <w:highlight w:val="none"/>
                      <w:u w:val="single"/>
                    </w:rPr>
                    <w:t>50</w:t>
                  </w:r>
                </w:p>
              </w:tc>
            </w:tr>
            <w:tr w14:paraId="0C8C73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3" w:hRule="atLeast"/>
                <w:jc w:val="center"/>
              </w:trPr>
              <w:tc>
                <w:tcPr>
                  <w:tcW w:w="1515" w:type="pct"/>
                  <w:tcBorders>
                    <w:tl2br w:val="nil"/>
                    <w:tr2bl w:val="nil"/>
                  </w:tcBorders>
                </w:tcPr>
                <w:p w14:paraId="76409195">
                  <w:pPr>
                    <w:adjustRightInd w:val="0"/>
                    <w:snapToGrid w:val="0"/>
                    <w:jc w:val="center"/>
                    <w:rPr>
                      <w:i/>
                      <w:iCs/>
                      <w:color w:val="auto"/>
                      <w:sz w:val="18"/>
                      <w:szCs w:val="18"/>
                      <w:highlight w:val="none"/>
                      <w:u w:val="single"/>
                    </w:rPr>
                  </w:pPr>
                  <w:r>
                    <w:rPr>
                      <w:rFonts w:hint="eastAsia"/>
                      <w:i/>
                      <w:iCs/>
                      <w:color w:val="auto"/>
                      <w:sz w:val="18"/>
                      <w:szCs w:val="18"/>
                      <w:highlight w:val="none"/>
                      <w:u w:val="single"/>
                    </w:rPr>
                    <w:t>厂界南1m处</w:t>
                  </w:r>
                </w:p>
              </w:tc>
              <w:tc>
                <w:tcPr>
                  <w:tcW w:w="1160" w:type="pct"/>
                  <w:tcBorders>
                    <w:tl2br w:val="nil"/>
                    <w:tr2bl w:val="nil"/>
                  </w:tcBorders>
                  <w:vAlign w:val="center"/>
                </w:tcPr>
                <w:p w14:paraId="28966F19">
                  <w:pPr>
                    <w:adjustRightInd w:val="0"/>
                    <w:snapToGrid w:val="0"/>
                    <w:jc w:val="center"/>
                    <w:rPr>
                      <w:i/>
                      <w:iCs/>
                      <w:color w:val="auto"/>
                      <w:sz w:val="18"/>
                      <w:szCs w:val="18"/>
                      <w:highlight w:val="none"/>
                      <w:u w:val="single"/>
                    </w:rPr>
                  </w:pPr>
                  <w:r>
                    <w:rPr>
                      <w:rFonts w:hint="eastAsia"/>
                      <w:i/>
                      <w:iCs/>
                      <w:color w:val="auto"/>
                      <w:sz w:val="18"/>
                      <w:szCs w:val="18"/>
                      <w:highlight w:val="none"/>
                      <w:u w:val="single"/>
                    </w:rPr>
                    <w:t>17</w:t>
                  </w:r>
                </w:p>
              </w:tc>
              <w:tc>
                <w:tcPr>
                  <w:tcW w:w="591" w:type="pct"/>
                  <w:tcBorders>
                    <w:tl2br w:val="nil"/>
                    <w:tr2bl w:val="nil"/>
                  </w:tcBorders>
                  <w:shd w:val="clear" w:color="auto" w:fill="auto"/>
                  <w:vAlign w:val="center"/>
                </w:tcPr>
                <w:p w14:paraId="40FF506D">
                  <w:pPr>
                    <w:adjustRightInd w:val="0"/>
                    <w:snapToGrid w:val="0"/>
                    <w:jc w:val="center"/>
                    <w:rPr>
                      <w:i/>
                      <w:iCs/>
                      <w:color w:val="auto"/>
                      <w:sz w:val="18"/>
                      <w:szCs w:val="18"/>
                      <w:highlight w:val="none"/>
                      <w:u w:val="single"/>
                    </w:rPr>
                  </w:pPr>
                  <w:r>
                    <w:rPr>
                      <w:rFonts w:hint="eastAsia"/>
                      <w:i/>
                      <w:iCs/>
                      <w:color w:val="auto"/>
                      <w:sz w:val="18"/>
                      <w:szCs w:val="18"/>
                      <w:highlight w:val="none"/>
                      <w:u w:val="single"/>
                    </w:rPr>
                    <w:t>35</w:t>
                  </w:r>
                </w:p>
              </w:tc>
              <w:tc>
                <w:tcPr>
                  <w:tcW w:w="649" w:type="pct"/>
                  <w:tcBorders>
                    <w:tl2br w:val="nil"/>
                    <w:tr2bl w:val="nil"/>
                  </w:tcBorders>
                  <w:shd w:val="clear" w:color="auto" w:fill="auto"/>
                  <w:vAlign w:val="center"/>
                </w:tcPr>
                <w:p w14:paraId="4239D38C">
                  <w:pPr>
                    <w:adjustRightInd w:val="0"/>
                    <w:snapToGrid w:val="0"/>
                    <w:jc w:val="center"/>
                    <w:rPr>
                      <w:i/>
                      <w:iCs/>
                      <w:color w:val="auto"/>
                      <w:sz w:val="18"/>
                      <w:szCs w:val="18"/>
                      <w:highlight w:val="none"/>
                      <w:u w:val="single"/>
                    </w:rPr>
                  </w:pPr>
                  <w:r>
                    <w:rPr>
                      <w:rFonts w:hint="eastAsia"/>
                      <w:i/>
                      <w:iCs/>
                      <w:color w:val="auto"/>
                      <w:sz w:val="18"/>
                      <w:szCs w:val="18"/>
                      <w:highlight w:val="none"/>
                      <w:u w:val="single"/>
                    </w:rPr>
                    <w:t>35</w:t>
                  </w:r>
                </w:p>
              </w:tc>
              <w:tc>
                <w:tcPr>
                  <w:tcW w:w="542" w:type="pct"/>
                  <w:tcBorders>
                    <w:tl2br w:val="nil"/>
                    <w:tr2bl w:val="nil"/>
                  </w:tcBorders>
                  <w:vAlign w:val="center"/>
                </w:tcPr>
                <w:p w14:paraId="63DD5EEB">
                  <w:pPr>
                    <w:adjustRightInd w:val="0"/>
                    <w:snapToGrid w:val="0"/>
                    <w:jc w:val="center"/>
                    <w:rPr>
                      <w:i/>
                      <w:iCs/>
                      <w:color w:val="auto"/>
                      <w:sz w:val="18"/>
                      <w:szCs w:val="18"/>
                      <w:highlight w:val="none"/>
                      <w:u w:val="single"/>
                    </w:rPr>
                  </w:pPr>
                  <w:r>
                    <w:rPr>
                      <w:rFonts w:hint="eastAsia"/>
                      <w:i/>
                      <w:iCs/>
                      <w:color w:val="auto"/>
                      <w:sz w:val="18"/>
                      <w:szCs w:val="18"/>
                      <w:highlight w:val="none"/>
                      <w:u w:val="single"/>
                    </w:rPr>
                    <w:t>60</w:t>
                  </w:r>
                </w:p>
              </w:tc>
              <w:tc>
                <w:tcPr>
                  <w:tcW w:w="541" w:type="pct"/>
                  <w:tcBorders>
                    <w:tl2br w:val="nil"/>
                    <w:tr2bl w:val="nil"/>
                  </w:tcBorders>
                  <w:vAlign w:val="center"/>
                </w:tcPr>
                <w:p w14:paraId="2DCDC1D5">
                  <w:pPr>
                    <w:adjustRightInd w:val="0"/>
                    <w:snapToGrid w:val="0"/>
                    <w:jc w:val="center"/>
                    <w:rPr>
                      <w:i/>
                      <w:iCs/>
                      <w:color w:val="auto"/>
                      <w:sz w:val="18"/>
                      <w:szCs w:val="18"/>
                      <w:highlight w:val="none"/>
                      <w:u w:val="single"/>
                    </w:rPr>
                  </w:pPr>
                  <w:r>
                    <w:rPr>
                      <w:rFonts w:hint="eastAsia"/>
                      <w:i/>
                      <w:iCs/>
                      <w:color w:val="auto"/>
                      <w:sz w:val="18"/>
                      <w:szCs w:val="18"/>
                      <w:highlight w:val="none"/>
                      <w:u w:val="single"/>
                    </w:rPr>
                    <w:t>50</w:t>
                  </w:r>
                </w:p>
              </w:tc>
            </w:tr>
            <w:tr w14:paraId="3135DF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0" w:hRule="atLeast"/>
                <w:jc w:val="center"/>
              </w:trPr>
              <w:tc>
                <w:tcPr>
                  <w:tcW w:w="1515" w:type="pct"/>
                  <w:tcBorders>
                    <w:tl2br w:val="nil"/>
                    <w:tr2bl w:val="nil"/>
                  </w:tcBorders>
                </w:tcPr>
                <w:p w14:paraId="4A81FDC7">
                  <w:pPr>
                    <w:adjustRightInd w:val="0"/>
                    <w:snapToGrid w:val="0"/>
                    <w:jc w:val="center"/>
                    <w:rPr>
                      <w:i/>
                      <w:iCs/>
                      <w:color w:val="auto"/>
                      <w:sz w:val="18"/>
                      <w:szCs w:val="18"/>
                      <w:highlight w:val="none"/>
                      <w:u w:val="single"/>
                    </w:rPr>
                  </w:pPr>
                  <w:r>
                    <w:rPr>
                      <w:rFonts w:hint="eastAsia"/>
                      <w:i/>
                      <w:iCs/>
                      <w:color w:val="auto"/>
                      <w:sz w:val="18"/>
                      <w:szCs w:val="18"/>
                      <w:highlight w:val="none"/>
                      <w:u w:val="single"/>
                    </w:rPr>
                    <w:t>厂界西1m处</w:t>
                  </w:r>
                </w:p>
              </w:tc>
              <w:tc>
                <w:tcPr>
                  <w:tcW w:w="1160" w:type="pct"/>
                  <w:tcBorders>
                    <w:tl2br w:val="nil"/>
                    <w:tr2bl w:val="nil"/>
                  </w:tcBorders>
                  <w:vAlign w:val="center"/>
                </w:tcPr>
                <w:p w14:paraId="47E86F74">
                  <w:pPr>
                    <w:adjustRightInd w:val="0"/>
                    <w:snapToGrid w:val="0"/>
                    <w:jc w:val="center"/>
                    <w:rPr>
                      <w:i/>
                      <w:iCs/>
                      <w:color w:val="auto"/>
                      <w:sz w:val="18"/>
                      <w:szCs w:val="18"/>
                      <w:highlight w:val="none"/>
                      <w:u w:val="single"/>
                    </w:rPr>
                  </w:pPr>
                  <w:r>
                    <w:rPr>
                      <w:rFonts w:hint="eastAsia"/>
                      <w:i/>
                      <w:iCs/>
                      <w:color w:val="auto"/>
                      <w:sz w:val="18"/>
                      <w:szCs w:val="18"/>
                      <w:highlight w:val="none"/>
                      <w:u w:val="single"/>
                    </w:rPr>
                    <w:t>21</w:t>
                  </w:r>
                </w:p>
              </w:tc>
              <w:tc>
                <w:tcPr>
                  <w:tcW w:w="591" w:type="pct"/>
                  <w:tcBorders>
                    <w:tl2br w:val="nil"/>
                    <w:tr2bl w:val="nil"/>
                  </w:tcBorders>
                  <w:vAlign w:val="center"/>
                </w:tcPr>
                <w:p w14:paraId="5434DC87">
                  <w:pPr>
                    <w:adjustRightInd w:val="0"/>
                    <w:snapToGrid w:val="0"/>
                    <w:jc w:val="center"/>
                    <w:rPr>
                      <w:i/>
                      <w:iCs/>
                      <w:color w:val="auto"/>
                      <w:sz w:val="18"/>
                      <w:szCs w:val="18"/>
                      <w:highlight w:val="none"/>
                      <w:u w:val="single"/>
                    </w:rPr>
                  </w:pPr>
                  <w:r>
                    <w:rPr>
                      <w:rFonts w:hint="eastAsia"/>
                      <w:i/>
                      <w:iCs/>
                      <w:color w:val="auto"/>
                      <w:sz w:val="18"/>
                      <w:szCs w:val="18"/>
                      <w:highlight w:val="none"/>
                      <w:u w:val="single"/>
                    </w:rPr>
                    <w:t>34</w:t>
                  </w:r>
                </w:p>
              </w:tc>
              <w:tc>
                <w:tcPr>
                  <w:tcW w:w="649" w:type="pct"/>
                  <w:tcBorders>
                    <w:tl2br w:val="nil"/>
                    <w:tr2bl w:val="nil"/>
                  </w:tcBorders>
                  <w:vAlign w:val="center"/>
                </w:tcPr>
                <w:p w14:paraId="5651643A">
                  <w:pPr>
                    <w:adjustRightInd w:val="0"/>
                    <w:snapToGrid w:val="0"/>
                    <w:jc w:val="center"/>
                    <w:rPr>
                      <w:i/>
                      <w:iCs/>
                      <w:color w:val="auto"/>
                      <w:sz w:val="18"/>
                      <w:szCs w:val="18"/>
                      <w:highlight w:val="none"/>
                      <w:u w:val="single"/>
                    </w:rPr>
                  </w:pPr>
                  <w:r>
                    <w:rPr>
                      <w:rFonts w:hint="eastAsia"/>
                      <w:i/>
                      <w:iCs/>
                      <w:color w:val="auto"/>
                      <w:sz w:val="18"/>
                      <w:szCs w:val="18"/>
                      <w:highlight w:val="none"/>
                      <w:u w:val="single"/>
                    </w:rPr>
                    <w:t>34</w:t>
                  </w:r>
                </w:p>
              </w:tc>
              <w:tc>
                <w:tcPr>
                  <w:tcW w:w="542" w:type="pct"/>
                  <w:tcBorders>
                    <w:tl2br w:val="nil"/>
                    <w:tr2bl w:val="nil"/>
                  </w:tcBorders>
                  <w:vAlign w:val="center"/>
                </w:tcPr>
                <w:p w14:paraId="51BA7268">
                  <w:pPr>
                    <w:adjustRightInd w:val="0"/>
                    <w:snapToGrid w:val="0"/>
                    <w:jc w:val="center"/>
                    <w:rPr>
                      <w:i/>
                      <w:iCs/>
                      <w:color w:val="auto"/>
                      <w:sz w:val="18"/>
                      <w:szCs w:val="18"/>
                      <w:highlight w:val="none"/>
                      <w:u w:val="single"/>
                    </w:rPr>
                  </w:pPr>
                  <w:r>
                    <w:rPr>
                      <w:rFonts w:hint="eastAsia"/>
                      <w:i/>
                      <w:iCs/>
                      <w:color w:val="auto"/>
                      <w:sz w:val="18"/>
                      <w:szCs w:val="18"/>
                      <w:highlight w:val="none"/>
                      <w:u w:val="single"/>
                    </w:rPr>
                    <w:t>60</w:t>
                  </w:r>
                </w:p>
              </w:tc>
              <w:tc>
                <w:tcPr>
                  <w:tcW w:w="541" w:type="pct"/>
                  <w:tcBorders>
                    <w:tl2br w:val="nil"/>
                    <w:tr2bl w:val="nil"/>
                  </w:tcBorders>
                  <w:vAlign w:val="center"/>
                </w:tcPr>
                <w:p w14:paraId="174EF3A9">
                  <w:pPr>
                    <w:adjustRightInd w:val="0"/>
                    <w:snapToGrid w:val="0"/>
                    <w:jc w:val="center"/>
                    <w:rPr>
                      <w:i/>
                      <w:iCs/>
                      <w:color w:val="auto"/>
                      <w:sz w:val="18"/>
                      <w:szCs w:val="18"/>
                      <w:highlight w:val="none"/>
                      <w:u w:val="single"/>
                    </w:rPr>
                  </w:pPr>
                  <w:r>
                    <w:rPr>
                      <w:rFonts w:hint="eastAsia"/>
                      <w:i/>
                      <w:iCs/>
                      <w:color w:val="auto"/>
                      <w:sz w:val="18"/>
                      <w:szCs w:val="18"/>
                      <w:highlight w:val="none"/>
                      <w:u w:val="single"/>
                    </w:rPr>
                    <w:t>50</w:t>
                  </w:r>
                </w:p>
              </w:tc>
            </w:tr>
            <w:tr w14:paraId="294568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1515" w:type="pct"/>
                  <w:tcBorders>
                    <w:tl2br w:val="nil"/>
                    <w:tr2bl w:val="nil"/>
                  </w:tcBorders>
                </w:tcPr>
                <w:p w14:paraId="3312E42A">
                  <w:pPr>
                    <w:adjustRightInd w:val="0"/>
                    <w:snapToGrid w:val="0"/>
                    <w:jc w:val="center"/>
                    <w:rPr>
                      <w:i/>
                      <w:iCs/>
                      <w:color w:val="auto"/>
                      <w:sz w:val="18"/>
                      <w:szCs w:val="18"/>
                      <w:highlight w:val="none"/>
                      <w:u w:val="single"/>
                    </w:rPr>
                  </w:pPr>
                  <w:r>
                    <w:rPr>
                      <w:rFonts w:hint="eastAsia"/>
                      <w:i/>
                      <w:iCs/>
                      <w:color w:val="auto"/>
                      <w:sz w:val="18"/>
                      <w:szCs w:val="18"/>
                      <w:highlight w:val="none"/>
                      <w:u w:val="single"/>
                    </w:rPr>
                    <w:t>厂界北1m处</w:t>
                  </w:r>
                </w:p>
              </w:tc>
              <w:tc>
                <w:tcPr>
                  <w:tcW w:w="1160" w:type="pct"/>
                  <w:tcBorders>
                    <w:tl2br w:val="nil"/>
                    <w:tr2bl w:val="nil"/>
                  </w:tcBorders>
                  <w:vAlign w:val="center"/>
                </w:tcPr>
                <w:p w14:paraId="37DFED05">
                  <w:pPr>
                    <w:adjustRightInd w:val="0"/>
                    <w:snapToGrid w:val="0"/>
                    <w:jc w:val="center"/>
                    <w:rPr>
                      <w:i/>
                      <w:iCs/>
                      <w:color w:val="auto"/>
                      <w:sz w:val="18"/>
                      <w:szCs w:val="18"/>
                      <w:highlight w:val="none"/>
                      <w:u w:val="single"/>
                    </w:rPr>
                  </w:pPr>
                  <w:r>
                    <w:rPr>
                      <w:rFonts w:hint="eastAsia"/>
                      <w:i/>
                      <w:iCs/>
                      <w:color w:val="auto"/>
                      <w:sz w:val="18"/>
                      <w:szCs w:val="18"/>
                      <w:highlight w:val="none"/>
                      <w:u w:val="single"/>
                    </w:rPr>
                    <w:t>113</w:t>
                  </w:r>
                </w:p>
              </w:tc>
              <w:tc>
                <w:tcPr>
                  <w:tcW w:w="591" w:type="pct"/>
                  <w:tcBorders>
                    <w:tl2br w:val="nil"/>
                    <w:tr2bl w:val="nil"/>
                  </w:tcBorders>
                  <w:vAlign w:val="center"/>
                </w:tcPr>
                <w:p w14:paraId="2E1391CF">
                  <w:pPr>
                    <w:adjustRightInd w:val="0"/>
                    <w:snapToGrid w:val="0"/>
                    <w:jc w:val="center"/>
                    <w:rPr>
                      <w:i/>
                      <w:iCs/>
                      <w:color w:val="auto"/>
                      <w:sz w:val="18"/>
                      <w:szCs w:val="18"/>
                      <w:highlight w:val="none"/>
                      <w:u w:val="single"/>
                    </w:rPr>
                  </w:pPr>
                  <w:r>
                    <w:rPr>
                      <w:rFonts w:hint="eastAsia"/>
                      <w:i/>
                      <w:iCs/>
                      <w:color w:val="auto"/>
                      <w:sz w:val="18"/>
                      <w:szCs w:val="18"/>
                      <w:highlight w:val="none"/>
                      <w:u w:val="single"/>
                    </w:rPr>
                    <w:t>18</w:t>
                  </w:r>
                </w:p>
              </w:tc>
              <w:tc>
                <w:tcPr>
                  <w:tcW w:w="649" w:type="pct"/>
                  <w:tcBorders>
                    <w:tl2br w:val="nil"/>
                    <w:tr2bl w:val="nil"/>
                  </w:tcBorders>
                  <w:vAlign w:val="center"/>
                </w:tcPr>
                <w:p w14:paraId="61B57D49">
                  <w:pPr>
                    <w:adjustRightInd w:val="0"/>
                    <w:snapToGrid w:val="0"/>
                    <w:jc w:val="center"/>
                    <w:rPr>
                      <w:i/>
                      <w:iCs/>
                      <w:color w:val="auto"/>
                      <w:sz w:val="18"/>
                      <w:szCs w:val="18"/>
                      <w:highlight w:val="none"/>
                      <w:u w:val="single"/>
                    </w:rPr>
                  </w:pPr>
                  <w:r>
                    <w:rPr>
                      <w:rFonts w:hint="eastAsia"/>
                      <w:i/>
                      <w:iCs/>
                      <w:color w:val="auto"/>
                      <w:sz w:val="18"/>
                      <w:szCs w:val="18"/>
                      <w:highlight w:val="none"/>
                      <w:u w:val="single"/>
                    </w:rPr>
                    <w:t>18</w:t>
                  </w:r>
                </w:p>
              </w:tc>
              <w:tc>
                <w:tcPr>
                  <w:tcW w:w="542" w:type="pct"/>
                  <w:tcBorders>
                    <w:tl2br w:val="nil"/>
                    <w:tr2bl w:val="nil"/>
                  </w:tcBorders>
                  <w:vAlign w:val="center"/>
                </w:tcPr>
                <w:p w14:paraId="2689A892">
                  <w:pPr>
                    <w:adjustRightInd w:val="0"/>
                    <w:snapToGrid w:val="0"/>
                    <w:jc w:val="center"/>
                    <w:rPr>
                      <w:i/>
                      <w:iCs/>
                      <w:color w:val="auto"/>
                      <w:sz w:val="18"/>
                      <w:szCs w:val="18"/>
                      <w:highlight w:val="none"/>
                      <w:u w:val="single"/>
                    </w:rPr>
                  </w:pPr>
                  <w:r>
                    <w:rPr>
                      <w:rFonts w:hint="eastAsia"/>
                      <w:i/>
                      <w:iCs/>
                      <w:color w:val="auto"/>
                      <w:sz w:val="18"/>
                      <w:szCs w:val="18"/>
                      <w:highlight w:val="none"/>
                      <w:u w:val="single"/>
                    </w:rPr>
                    <w:t>60</w:t>
                  </w:r>
                </w:p>
              </w:tc>
              <w:tc>
                <w:tcPr>
                  <w:tcW w:w="541" w:type="pct"/>
                  <w:tcBorders>
                    <w:tl2br w:val="nil"/>
                    <w:tr2bl w:val="nil"/>
                  </w:tcBorders>
                  <w:vAlign w:val="center"/>
                </w:tcPr>
                <w:p w14:paraId="38CCA6AA">
                  <w:pPr>
                    <w:adjustRightInd w:val="0"/>
                    <w:snapToGrid w:val="0"/>
                    <w:jc w:val="center"/>
                    <w:rPr>
                      <w:i/>
                      <w:iCs/>
                      <w:color w:val="auto"/>
                      <w:sz w:val="18"/>
                      <w:szCs w:val="18"/>
                      <w:highlight w:val="none"/>
                      <w:u w:val="single"/>
                    </w:rPr>
                  </w:pPr>
                  <w:r>
                    <w:rPr>
                      <w:rFonts w:hint="eastAsia"/>
                      <w:i/>
                      <w:iCs/>
                      <w:color w:val="auto"/>
                      <w:sz w:val="18"/>
                      <w:szCs w:val="18"/>
                      <w:highlight w:val="none"/>
                      <w:u w:val="single"/>
                    </w:rPr>
                    <w:t>50</w:t>
                  </w:r>
                </w:p>
              </w:tc>
            </w:tr>
          </w:tbl>
          <w:p w14:paraId="63FB4A23">
            <w:pPr>
              <w:adjustRightInd w:val="0"/>
              <w:snapToGrid w:val="0"/>
              <w:spacing w:line="360" w:lineRule="auto"/>
              <w:ind w:firstLine="420" w:firstLineChars="200"/>
              <w:rPr>
                <w:color w:val="auto"/>
                <w:highlight w:val="none"/>
              </w:rPr>
            </w:pPr>
            <w:r>
              <w:rPr>
                <w:color w:val="auto"/>
                <w:highlight w:val="none"/>
              </w:rPr>
              <w:t>根据导则，新建项目以工程噪声贡献值作为评价量。由上表可知，本项目厂界噪声贡献值可满足</w:t>
            </w:r>
            <w:r>
              <w:rPr>
                <w:snapToGrid w:val="0"/>
                <w:color w:val="auto"/>
                <w:highlight w:val="none"/>
              </w:rPr>
              <w:t>GB3096-2008</w:t>
            </w:r>
            <w:r>
              <w:rPr>
                <w:rFonts w:hint="eastAsia" w:cs="宋体"/>
                <w:snapToGrid w:val="0"/>
                <w:color w:val="auto"/>
                <w:highlight w:val="none"/>
              </w:rPr>
              <w:t>《声环境质量标准》中</w:t>
            </w:r>
            <w:r>
              <w:rPr>
                <w:rFonts w:hint="eastAsia"/>
                <w:snapToGrid w:val="0"/>
                <w:color w:val="auto"/>
                <w:highlight w:val="none"/>
              </w:rPr>
              <w:t>2类区</w:t>
            </w:r>
            <w:r>
              <w:rPr>
                <w:rFonts w:hint="eastAsia" w:cs="宋体"/>
                <w:snapToGrid w:val="0"/>
                <w:color w:val="auto"/>
                <w:highlight w:val="none"/>
              </w:rPr>
              <w:t>标准</w:t>
            </w:r>
            <w:r>
              <w:rPr>
                <w:color w:val="auto"/>
                <w:highlight w:val="none"/>
              </w:rPr>
              <w:t>要求，故</w:t>
            </w:r>
            <w:r>
              <w:rPr>
                <w:rFonts w:hint="eastAsia"/>
                <w:color w:val="auto"/>
                <w:highlight w:val="none"/>
              </w:rPr>
              <w:t>本项目建成后对周围声环境影响较小。</w:t>
            </w:r>
          </w:p>
          <w:p w14:paraId="189FD8CD">
            <w:pPr>
              <w:pStyle w:val="8"/>
              <w:adjustRightInd w:val="0"/>
              <w:snapToGrid w:val="0"/>
              <w:spacing w:line="336" w:lineRule="auto"/>
              <w:ind w:firstLine="420" w:firstLineChars="200"/>
              <w:jc w:val="both"/>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（3）噪声自行监测</w:t>
            </w:r>
          </w:p>
          <w:p w14:paraId="12D2903E">
            <w:pPr>
              <w:pStyle w:val="8"/>
              <w:adjustRightInd w:val="0"/>
              <w:snapToGrid w:val="0"/>
              <w:spacing w:line="336" w:lineRule="auto"/>
              <w:ind w:firstLine="420" w:firstLineChars="200"/>
              <w:jc w:val="both"/>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企业应按照《排污单位自行监测技术指南 总则》（HJ 819-2017）中的相关监测要求委托有资质的监测机构，每季度一次在厂界四周噪声监测。</w:t>
            </w:r>
          </w:p>
          <w:p w14:paraId="264C7EB9">
            <w:pPr>
              <w:pStyle w:val="8"/>
              <w:adjustRightInd w:val="0"/>
              <w:snapToGrid w:val="0"/>
              <w:spacing w:line="336" w:lineRule="auto"/>
              <w:jc w:val="both"/>
              <w:rPr>
                <w:rFonts w:ascii="Times New Roman" w:cs="Times New Roman"/>
                <w:color w:val="auto"/>
                <w:sz w:val="21"/>
                <w:szCs w:val="21"/>
                <w:highlight w:val="none"/>
              </w:rPr>
            </w:pPr>
            <w:r>
              <w:rPr>
                <w:rFonts w:hint="eastAsia" w:ascii="Times New Roman" w:cs="Times New Roman"/>
                <w:color w:val="auto"/>
                <w:sz w:val="21"/>
                <w:szCs w:val="21"/>
                <w:highlight w:val="none"/>
              </w:rPr>
              <w:t>4、固体废物</w:t>
            </w:r>
          </w:p>
          <w:p w14:paraId="52D0A3A6">
            <w:pPr>
              <w:spacing w:line="360" w:lineRule="auto"/>
              <w:ind w:firstLine="420" w:firstLineChars="200"/>
              <w:rPr>
                <w:color w:val="auto"/>
                <w:highlight w:val="none"/>
              </w:rPr>
            </w:pPr>
            <w:r>
              <w:rPr>
                <w:color w:val="auto"/>
                <w:highlight w:val="none"/>
              </w:rPr>
              <w:t>本项目固体废物主要为生活垃圾、</w:t>
            </w:r>
            <w:r>
              <w:rPr>
                <w:rFonts w:hint="eastAsia"/>
                <w:color w:val="auto"/>
                <w:highlight w:val="none"/>
              </w:rPr>
              <w:t>沉淀物以及除尘灰。企业设备维护保养由设备厂家负责，主要是定期添加润滑油，无废机油等产生。</w:t>
            </w:r>
          </w:p>
          <w:p w14:paraId="10C13173">
            <w:pPr>
              <w:spacing w:line="360" w:lineRule="auto"/>
              <w:ind w:firstLine="420" w:firstLineChars="200"/>
              <w:rPr>
                <w:color w:val="auto"/>
                <w:highlight w:val="none"/>
              </w:rPr>
            </w:pPr>
            <w:r>
              <w:rPr>
                <w:rFonts w:hint="eastAsia"/>
                <w:color w:val="auto"/>
                <w:highlight w:val="none"/>
              </w:rPr>
              <w:t>（1）生活垃圾</w:t>
            </w:r>
          </w:p>
          <w:p w14:paraId="18552308">
            <w:pPr>
              <w:spacing w:line="360" w:lineRule="auto"/>
              <w:ind w:firstLine="420" w:firstLineChars="200"/>
              <w:rPr>
                <w:color w:val="auto"/>
                <w:highlight w:val="none"/>
              </w:rPr>
            </w:pPr>
            <w:r>
              <w:rPr>
                <w:color w:val="auto"/>
                <w:highlight w:val="none"/>
              </w:rPr>
              <w:t>项目劳动定员</w:t>
            </w:r>
            <w:r>
              <w:rPr>
                <w:rFonts w:hint="eastAsia"/>
                <w:color w:val="auto"/>
                <w:highlight w:val="none"/>
              </w:rPr>
              <w:t>10</w:t>
            </w:r>
            <w:r>
              <w:rPr>
                <w:color w:val="auto"/>
                <w:highlight w:val="none"/>
              </w:rPr>
              <w:t>人，生活垃圾按0.5kg/人.d计，</w:t>
            </w:r>
            <w:r>
              <w:rPr>
                <w:rFonts w:hint="eastAsia"/>
                <w:color w:val="auto"/>
                <w:highlight w:val="none"/>
              </w:rPr>
              <w:t>生活</w:t>
            </w:r>
            <w:r>
              <w:rPr>
                <w:color w:val="auto"/>
                <w:highlight w:val="none"/>
              </w:rPr>
              <w:t>垃圾产生量为</w:t>
            </w:r>
            <w:r>
              <w:rPr>
                <w:rFonts w:hint="eastAsia"/>
                <w:color w:val="auto"/>
                <w:highlight w:val="none"/>
              </w:rPr>
              <w:t>1.0</w:t>
            </w:r>
            <w:r>
              <w:rPr>
                <w:color w:val="auto"/>
                <w:highlight w:val="none"/>
              </w:rPr>
              <w:t>t/a，暂存于垃圾箱，</w:t>
            </w:r>
            <w:r>
              <w:rPr>
                <w:rFonts w:hint="eastAsia"/>
                <w:color w:val="auto"/>
                <w:highlight w:val="none"/>
              </w:rPr>
              <w:t>集中收集，</w:t>
            </w:r>
            <w:r>
              <w:rPr>
                <w:color w:val="auto"/>
                <w:highlight w:val="none"/>
              </w:rPr>
              <w:t>由环卫部门统一处理。</w:t>
            </w:r>
          </w:p>
          <w:p w14:paraId="283BC061">
            <w:pPr>
              <w:spacing w:line="360" w:lineRule="auto"/>
              <w:ind w:firstLine="420" w:firstLineChars="200"/>
              <w:rPr>
                <w:color w:val="auto"/>
                <w:highlight w:val="none"/>
              </w:rPr>
            </w:pPr>
            <w:r>
              <w:rPr>
                <w:rFonts w:hint="eastAsia"/>
                <w:color w:val="auto"/>
                <w:highlight w:val="none"/>
              </w:rPr>
              <w:t>（2）沉淀物</w:t>
            </w:r>
          </w:p>
          <w:p w14:paraId="3310782F">
            <w:pPr>
              <w:spacing w:line="360" w:lineRule="auto"/>
              <w:ind w:firstLine="420" w:firstLineChars="200"/>
              <w:rPr>
                <w:i/>
                <w:iCs/>
                <w:color w:val="auto"/>
                <w:u w:val="single"/>
              </w:rPr>
            </w:pPr>
            <w:r>
              <w:rPr>
                <w:rFonts w:hint="eastAsia"/>
                <w:color w:val="auto"/>
                <w:highlight w:val="none"/>
              </w:rPr>
              <w:t>根据前文物料衡算，进入水罐沉淀的物料约426.8394t/a，</w:t>
            </w:r>
            <w:r>
              <w:rPr>
                <w:color w:val="auto"/>
                <w:highlight w:val="none"/>
              </w:rPr>
              <w:t>主要为洗砂工序产生的污泥，主要成分为SS，刚刚清捞的污泥含水率约98%，</w:t>
            </w:r>
            <w:r>
              <w:rPr>
                <w:i/>
                <w:iCs/>
                <w:color w:val="auto"/>
                <w:highlight w:val="none"/>
                <w:u w:val="single"/>
              </w:rPr>
              <w:t>企业采用压滤机对污泥进行压滤，使其含水率小于60%，</w:t>
            </w:r>
            <w:r>
              <w:rPr>
                <w:rFonts w:hint="eastAsia"/>
                <w:i/>
                <w:iCs/>
                <w:color w:val="auto"/>
                <w:highlight w:val="none"/>
                <w:u w:val="single"/>
              </w:rPr>
              <w:t>属于一般固体废物，作为筑路材料</w:t>
            </w:r>
            <w:r>
              <w:rPr>
                <w:i/>
                <w:iCs/>
                <w:color w:val="auto"/>
                <w:highlight w:val="none"/>
                <w:u w:val="single"/>
              </w:rPr>
              <w:t>，</w:t>
            </w:r>
            <w:r>
              <w:rPr>
                <w:rFonts w:hint="eastAsia"/>
                <w:i/>
                <w:iCs/>
                <w:color w:val="auto"/>
                <w:highlight w:val="none"/>
                <w:u w:val="single"/>
              </w:rPr>
              <w:t>及时清运</w:t>
            </w:r>
            <w:r>
              <w:rPr>
                <w:rFonts w:hint="eastAsia"/>
                <w:i/>
                <w:iCs/>
                <w:color w:val="auto"/>
                <w:highlight w:val="none"/>
                <w:u w:val="single"/>
                <w:lang w:eastAsia="zh-CN"/>
              </w:rPr>
              <w:t>，</w:t>
            </w:r>
            <w:r>
              <w:rPr>
                <w:rFonts w:hint="eastAsia"/>
                <w:i/>
                <w:iCs/>
                <w:color w:val="auto"/>
                <w:highlight w:val="none"/>
                <w:u w:val="single"/>
                <w:lang w:val="en-US" w:eastAsia="zh-CN"/>
              </w:rPr>
              <w:t>不在场内暂存</w:t>
            </w:r>
            <w:r>
              <w:rPr>
                <w:i/>
                <w:iCs/>
                <w:color w:val="auto"/>
                <w:highlight w:val="none"/>
                <w:u w:val="single"/>
              </w:rPr>
              <w:t>，</w:t>
            </w:r>
            <w:r>
              <w:rPr>
                <w:i/>
                <w:iCs/>
                <w:color w:val="auto"/>
                <w:u w:val="single"/>
              </w:rPr>
              <w:t>防止产生二次扬尘污染。</w:t>
            </w:r>
          </w:p>
          <w:p w14:paraId="144CD303">
            <w:pPr>
              <w:numPr>
                <w:ilvl w:val="0"/>
                <w:numId w:val="3"/>
              </w:numPr>
              <w:spacing w:line="360" w:lineRule="auto"/>
              <w:ind w:firstLine="420" w:firstLineChars="200"/>
              <w:rPr>
                <w:i/>
                <w:iCs/>
                <w:color w:val="auto"/>
                <w:u w:val="single"/>
              </w:rPr>
            </w:pPr>
            <w:r>
              <w:rPr>
                <w:rFonts w:hint="eastAsia"/>
                <w:i/>
                <w:iCs/>
                <w:color w:val="auto"/>
                <w:u w:val="single"/>
              </w:rPr>
              <w:t>除尘灰</w:t>
            </w:r>
          </w:p>
          <w:p w14:paraId="257D9CE3">
            <w:pPr>
              <w:spacing w:line="360" w:lineRule="auto"/>
              <w:ind w:firstLine="420" w:firstLineChars="200"/>
              <w:rPr>
                <w:color w:val="auto"/>
              </w:rPr>
            </w:pPr>
            <w:r>
              <w:rPr>
                <w:rFonts w:hint="eastAsia"/>
                <w:i/>
                <w:iCs/>
                <w:color w:val="auto"/>
                <w:u w:val="single"/>
              </w:rPr>
              <w:t>布袋除尘器会产生除尘灰，根据物料衡算可知，除尘灰产生量为68.0170t/a，集中收集作为筑路材料。</w:t>
            </w:r>
          </w:p>
          <w:p w14:paraId="4BAFB128">
            <w:pPr>
              <w:adjustRightInd w:val="0"/>
              <w:snapToGrid w:val="0"/>
              <w:ind w:firstLine="420" w:firstLineChars="200"/>
              <w:jc w:val="center"/>
              <w:rPr>
                <w:color w:val="auto"/>
              </w:rPr>
            </w:pPr>
            <w:r>
              <w:rPr>
                <w:rFonts w:hint="eastAsia"/>
                <w:color w:val="auto"/>
              </w:rPr>
              <w:t>项目固废产排情况一览表</w:t>
            </w:r>
          </w:p>
          <w:tbl>
            <w:tblPr>
              <w:tblStyle w:val="24"/>
              <w:tblpPr w:leftFromText="180" w:rightFromText="180" w:vertAnchor="text" w:horzAnchor="margin" w:tblpXSpec="center" w:tblpY="95"/>
              <w:tblOverlap w:val="never"/>
              <w:tblW w:w="78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8"/>
              <w:gridCol w:w="1879"/>
              <w:gridCol w:w="1350"/>
              <w:gridCol w:w="1155"/>
              <w:gridCol w:w="2845"/>
            </w:tblGrid>
            <w:tr w14:paraId="707845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8" w:type="dxa"/>
                  <w:noWrap/>
                  <w:vAlign w:val="center"/>
                </w:tcPr>
                <w:p w14:paraId="6DEBCF12">
                  <w:pPr>
                    <w:jc w:val="center"/>
                    <w:rPr>
                      <w:color w:val="auto"/>
                      <w:sz w:val="18"/>
                      <w:szCs w:val="18"/>
                    </w:rPr>
                  </w:pPr>
                  <w:r>
                    <w:rPr>
                      <w:color w:val="auto"/>
                      <w:sz w:val="18"/>
                      <w:szCs w:val="18"/>
                    </w:rPr>
                    <w:t>序号</w:t>
                  </w:r>
                </w:p>
              </w:tc>
              <w:tc>
                <w:tcPr>
                  <w:tcW w:w="1879" w:type="dxa"/>
                  <w:noWrap/>
                  <w:vAlign w:val="center"/>
                </w:tcPr>
                <w:p w14:paraId="350DD660">
                  <w:pPr>
                    <w:jc w:val="center"/>
                    <w:rPr>
                      <w:color w:val="auto"/>
                      <w:sz w:val="18"/>
                      <w:szCs w:val="18"/>
                    </w:rPr>
                  </w:pPr>
                  <w:r>
                    <w:rPr>
                      <w:color w:val="auto"/>
                      <w:sz w:val="18"/>
                      <w:szCs w:val="18"/>
                    </w:rPr>
                    <w:t>固体废物种类</w:t>
                  </w:r>
                </w:p>
              </w:tc>
              <w:tc>
                <w:tcPr>
                  <w:tcW w:w="1350" w:type="dxa"/>
                  <w:noWrap/>
                  <w:vAlign w:val="center"/>
                </w:tcPr>
                <w:p w14:paraId="504736CB">
                  <w:pPr>
                    <w:autoSpaceDE w:val="0"/>
                    <w:autoSpaceDN w:val="0"/>
                    <w:adjustRightInd w:val="0"/>
                    <w:jc w:val="center"/>
                    <w:rPr>
                      <w:color w:val="auto"/>
                      <w:kern w:val="2"/>
                      <w:sz w:val="18"/>
                      <w:szCs w:val="18"/>
                    </w:rPr>
                  </w:pPr>
                  <w:r>
                    <w:rPr>
                      <w:color w:val="auto"/>
                      <w:sz w:val="18"/>
                      <w:szCs w:val="18"/>
                    </w:rPr>
                    <w:t>一般固体废物代码</w:t>
                  </w:r>
                </w:p>
              </w:tc>
              <w:tc>
                <w:tcPr>
                  <w:tcW w:w="1155" w:type="dxa"/>
                  <w:noWrap/>
                  <w:vAlign w:val="center"/>
                </w:tcPr>
                <w:p w14:paraId="162CDF85">
                  <w:pPr>
                    <w:jc w:val="center"/>
                    <w:rPr>
                      <w:color w:val="auto"/>
                      <w:sz w:val="18"/>
                      <w:szCs w:val="18"/>
                    </w:rPr>
                  </w:pPr>
                  <w:r>
                    <w:rPr>
                      <w:color w:val="auto"/>
                      <w:sz w:val="18"/>
                      <w:szCs w:val="18"/>
                    </w:rPr>
                    <w:t>产生量(t/a)</w:t>
                  </w:r>
                </w:p>
              </w:tc>
              <w:tc>
                <w:tcPr>
                  <w:tcW w:w="2845" w:type="dxa"/>
                  <w:noWrap/>
                  <w:vAlign w:val="center"/>
                </w:tcPr>
                <w:p w14:paraId="4BA3C867">
                  <w:pPr>
                    <w:jc w:val="center"/>
                    <w:rPr>
                      <w:color w:val="auto"/>
                      <w:sz w:val="18"/>
                      <w:szCs w:val="18"/>
                    </w:rPr>
                  </w:pPr>
                  <w:r>
                    <w:rPr>
                      <w:color w:val="auto"/>
                      <w:sz w:val="18"/>
                      <w:szCs w:val="18"/>
                    </w:rPr>
                    <w:t>处置措施</w:t>
                  </w:r>
                </w:p>
              </w:tc>
            </w:tr>
            <w:tr w14:paraId="4E8FDD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28" w:type="dxa"/>
                  <w:noWrap/>
                  <w:vAlign w:val="center"/>
                </w:tcPr>
                <w:p w14:paraId="52C4C726">
                  <w:pPr>
                    <w:jc w:val="center"/>
                    <w:rPr>
                      <w:color w:val="auto"/>
                      <w:sz w:val="18"/>
                      <w:szCs w:val="18"/>
                    </w:rPr>
                  </w:pPr>
                  <w:r>
                    <w:rPr>
                      <w:color w:val="auto"/>
                      <w:sz w:val="18"/>
                      <w:szCs w:val="18"/>
                    </w:rPr>
                    <w:t>1</w:t>
                  </w:r>
                </w:p>
              </w:tc>
              <w:tc>
                <w:tcPr>
                  <w:tcW w:w="1879" w:type="dxa"/>
                  <w:noWrap/>
                  <w:vAlign w:val="center"/>
                </w:tcPr>
                <w:p w14:paraId="2DF1569D">
                  <w:pPr>
                    <w:jc w:val="center"/>
                    <w:rPr>
                      <w:i/>
                      <w:iCs/>
                      <w:color w:val="auto"/>
                      <w:sz w:val="18"/>
                      <w:szCs w:val="18"/>
                      <w:u w:val="single"/>
                    </w:rPr>
                  </w:pPr>
                  <w:r>
                    <w:rPr>
                      <w:i/>
                      <w:iCs/>
                      <w:color w:val="auto"/>
                      <w:sz w:val="18"/>
                      <w:szCs w:val="18"/>
                      <w:u w:val="single"/>
                    </w:rPr>
                    <w:t>沉淀物</w:t>
                  </w:r>
                </w:p>
              </w:tc>
              <w:tc>
                <w:tcPr>
                  <w:tcW w:w="1350" w:type="dxa"/>
                  <w:noWrap/>
                  <w:vAlign w:val="center"/>
                </w:tcPr>
                <w:p w14:paraId="62041627">
                  <w:pPr>
                    <w:autoSpaceDE w:val="0"/>
                    <w:autoSpaceDN w:val="0"/>
                    <w:adjustRightInd w:val="0"/>
                    <w:jc w:val="center"/>
                    <w:rPr>
                      <w:i/>
                      <w:iCs/>
                      <w:color w:val="auto"/>
                      <w:kern w:val="2"/>
                      <w:sz w:val="18"/>
                      <w:szCs w:val="18"/>
                      <w:u w:val="single"/>
                    </w:rPr>
                  </w:pPr>
                  <w:r>
                    <w:rPr>
                      <w:rFonts w:hint="eastAsia"/>
                      <w:i/>
                      <w:iCs/>
                      <w:color w:val="auto"/>
                      <w:sz w:val="18"/>
                      <w:szCs w:val="18"/>
                      <w:u w:val="single"/>
                    </w:rPr>
                    <w:t>900-099-S7</w:t>
                  </w:r>
                </w:p>
              </w:tc>
              <w:tc>
                <w:tcPr>
                  <w:tcW w:w="1155" w:type="dxa"/>
                  <w:noWrap/>
                  <w:vAlign w:val="center"/>
                </w:tcPr>
                <w:p w14:paraId="68356274">
                  <w:pPr>
                    <w:jc w:val="center"/>
                    <w:rPr>
                      <w:i/>
                      <w:iCs/>
                      <w:color w:val="auto"/>
                      <w:sz w:val="18"/>
                      <w:szCs w:val="18"/>
                      <w:u w:val="single"/>
                    </w:rPr>
                  </w:pPr>
                  <w:r>
                    <w:rPr>
                      <w:rFonts w:hint="eastAsia"/>
                      <w:i/>
                      <w:iCs/>
                      <w:color w:val="auto"/>
                      <w:sz w:val="18"/>
                      <w:szCs w:val="18"/>
                      <w:u w:val="single"/>
                    </w:rPr>
                    <w:t>426.8394</w:t>
                  </w:r>
                </w:p>
              </w:tc>
              <w:tc>
                <w:tcPr>
                  <w:tcW w:w="2845" w:type="dxa"/>
                  <w:noWrap/>
                  <w:vAlign w:val="center"/>
                </w:tcPr>
                <w:p w14:paraId="0A6BA094">
                  <w:pPr>
                    <w:jc w:val="center"/>
                    <w:rPr>
                      <w:i/>
                      <w:iCs/>
                      <w:color w:val="auto"/>
                      <w:sz w:val="18"/>
                      <w:szCs w:val="18"/>
                      <w:u w:val="single"/>
                    </w:rPr>
                  </w:pPr>
                  <w:r>
                    <w:rPr>
                      <w:rFonts w:hint="eastAsia"/>
                      <w:i/>
                      <w:iCs/>
                      <w:color w:val="auto"/>
                      <w:sz w:val="18"/>
                      <w:szCs w:val="18"/>
                      <w:u w:val="single"/>
                    </w:rPr>
                    <w:t>作为筑路材料</w:t>
                  </w:r>
                </w:p>
              </w:tc>
            </w:tr>
            <w:tr w14:paraId="4CEC68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628" w:type="dxa"/>
                  <w:noWrap/>
                  <w:vAlign w:val="center"/>
                </w:tcPr>
                <w:p w14:paraId="5182DFD3">
                  <w:pPr>
                    <w:jc w:val="center"/>
                    <w:rPr>
                      <w:color w:val="auto"/>
                      <w:sz w:val="18"/>
                      <w:szCs w:val="18"/>
                    </w:rPr>
                  </w:pPr>
                  <w:r>
                    <w:rPr>
                      <w:color w:val="auto"/>
                      <w:sz w:val="18"/>
                      <w:szCs w:val="18"/>
                    </w:rPr>
                    <w:t>2</w:t>
                  </w:r>
                </w:p>
              </w:tc>
              <w:tc>
                <w:tcPr>
                  <w:tcW w:w="1879" w:type="dxa"/>
                  <w:noWrap/>
                  <w:vAlign w:val="center"/>
                </w:tcPr>
                <w:p w14:paraId="3B56B5D6">
                  <w:pPr>
                    <w:jc w:val="center"/>
                    <w:rPr>
                      <w:color w:val="auto"/>
                      <w:sz w:val="18"/>
                      <w:szCs w:val="18"/>
                    </w:rPr>
                  </w:pPr>
                  <w:r>
                    <w:rPr>
                      <w:color w:val="auto"/>
                      <w:sz w:val="18"/>
                      <w:szCs w:val="18"/>
                    </w:rPr>
                    <w:t>生活垃圾</w:t>
                  </w:r>
                </w:p>
              </w:tc>
              <w:tc>
                <w:tcPr>
                  <w:tcW w:w="1350" w:type="dxa"/>
                  <w:noWrap/>
                  <w:vAlign w:val="center"/>
                </w:tcPr>
                <w:p w14:paraId="79808595">
                  <w:pPr>
                    <w:jc w:val="center"/>
                    <w:rPr>
                      <w:color w:val="auto"/>
                      <w:sz w:val="18"/>
                      <w:szCs w:val="18"/>
                    </w:rPr>
                  </w:pPr>
                  <w:r>
                    <w:rPr>
                      <w:rFonts w:hint="eastAsia"/>
                      <w:color w:val="auto"/>
                      <w:sz w:val="18"/>
                      <w:szCs w:val="18"/>
                    </w:rPr>
                    <w:t>900-099-S64</w:t>
                  </w:r>
                </w:p>
              </w:tc>
              <w:tc>
                <w:tcPr>
                  <w:tcW w:w="1155" w:type="dxa"/>
                  <w:noWrap/>
                  <w:vAlign w:val="center"/>
                </w:tcPr>
                <w:p w14:paraId="383B2C55">
                  <w:pPr>
                    <w:jc w:val="center"/>
                    <w:rPr>
                      <w:color w:val="auto"/>
                      <w:sz w:val="18"/>
                      <w:szCs w:val="18"/>
                    </w:rPr>
                  </w:pPr>
                  <w:r>
                    <w:rPr>
                      <w:rFonts w:hint="eastAsia"/>
                      <w:color w:val="auto"/>
                      <w:sz w:val="18"/>
                      <w:szCs w:val="18"/>
                    </w:rPr>
                    <w:t>1.0</w:t>
                  </w:r>
                </w:p>
              </w:tc>
              <w:tc>
                <w:tcPr>
                  <w:tcW w:w="2845" w:type="dxa"/>
                  <w:noWrap/>
                  <w:vAlign w:val="center"/>
                </w:tcPr>
                <w:p w14:paraId="4095F36F">
                  <w:pPr>
                    <w:jc w:val="center"/>
                    <w:rPr>
                      <w:color w:val="auto"/>
                      <w:sz w:val="18"/>
                      <w:szCs w:val="18"/>
                    </w:rPr>
                  </w:pPr>
                  <w:r>
                    <w:rPr>
                      <w:color w:val="auto"/>
                      <w:sz w:val="18"/>
                      <w:szCs w:val="18"/>
                    </w:rPr>
                    <w:t>集中收集后由环卫部门统一处理</w:t>
                  </w:r>
                </w:p>
              </w:tc>
            </w:tr>
            <w:tr w14:paraId="4E3056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628" w:type="dxa"/>
                  <w:noWrap/>
                  <w:vAlign w:val="center"/>
                </w:tcPr>
                <w:p w14:paraId="1D6B9886">
                  <w:pPr>
                    <w:jc w:val="center"/>
                    <w:rPr>
                      <w:color w:val="auto"/>
                      <w:sz w:val="18"/>
                      <w:szCs w:val="18"/>
                    </w:rPr>
                  </w:pPr>
                  <w:r>
                    <w:rPr>
                      <w:rFonts w:hint="eastAsia"/>
                      <w:color w:val="auto"/>
                      <w:sz w:val="18"/>
                      <w:szCs w:val="18"/>
                    </w:rPr>
                    <w:t>3</w:t>
                  </w:r>
                </w:p>
              </w:tc>
              <w:tc>
                <w:tcPr>
                  <w:tcW w:w="1879" w:type="dxa"/>
                  <w:noWrap/>
                  <w:vAlign w:val="center"/>
                </w:tcPr>
                <w:p w14:paraId="113F8A0E">
                  <w:pPr>
                    <w:jc w:val="center"/>
                    <w:rPr>
                      <w:color w:val="auto"/>
                      <w:sz w:val="18"/>
                      <w:szCs w:val="18"/>
                    </w:rPr>
                  </w:pPr>
                  <w:r>
                    <w:rPr>
                      <w:rFonts w:hint="eastAsia"/>
                      <w:color w:val="auto"/>
                      <w:sz w:val="18"/>
                      <w:szCs w:val="18"/>
                    </w:rPr>
                    <w:t>除尘灰</w:t>
                  </w:r>
                </w:p>
              </w:tc>
              <w:tc>
                <w:tcPr>
                  <w:tcW w:w="1350" w:type="dxa"/>
                  <w:noWrap/>
                  <w:vAlign w:val="center"/>
                </w:tcPr>
                <w:p w14:paraId="501FB807">
                  <w:pPr>
                    <w:jc w:val="center"/>
                    <w:rPr>
                      <w:color w:val="auto"/>
                      <w:sz w:val="18"/>
                      <w:szCs w:val="18"/>
                    </w:rPr>
                  </w:pPr>
                  <w:r>
                    <w:rPr>
                      <w:rFonts w:hint="eastAsia"/>
                      <w:color w:val="auto"/>
                      <w:sz w:val="18"/>
                      <w:szCs w:val="18"/>
                    </w:rPr>
                    <w:t>900-099-S59</w:t>
                  </w:r>
                </w:p>
              </w:tc>
              <w:tc>
                <w:tcPr>
                  <w:tcW w:w="1155" w:type="dxa"/>
                  <w:noWrap/>
                  <w:vAlign w:val="center"/>
                </w:tcPr>
                <w:p w14:paraId="3ACBAB3F">
                  <w:pPr>
                    <w:jc w:val="center"/>
                    <w:rPr>
                      <w:color w:val="auto"/>
                      <w:sz w:val="18"/>
                      <w:szCs w:val="18"/>
                    </w:rPr>
                  </w:pPr>
                  <w:r>
                    <w:rPr>
                      <w:rFonts w:hint="eastAsia"/>
                      <w:color w:val="auto"/>
                      <w:sz w:val="18"/>
                      <w:szCs w:val="18"/>
                    </w:rPr>
                    <w:t>68.0170</w:t>
                  </w:r>
                </w:p>
              </w:tc>
              <w:tc>
                <w:tcPr>
                  <w:tcW w:w="2845" w:type="dxa"/>
                  <w:noWrap/>
                  <w:vAlign w:val="center"/>
                </w:tcPr>
                <w:p w14:paraId="15A3B631">
                  <w:pPr>
                    <w:jc w:val="center"/>
                    <w:rPr>
                      <w:color w:val="auto"/>
                      <w:sz w:val="18"/>
                      <w:szCs w:val="18"/>
                    </w:rPr>
                  </w:pPr>
                  <w:r>
                    <w:rPr>
                      <w:rFonts w:hint="eastAsia"/>
                      <w:color w:val="auto"/>
                      <w:sz w:val="18"/>
                      <w:szCs w:val="18"/>
                    </w:rPr>
                    <w:t>集中收集，作为筑路材料</w:t>
                  </w:r>
                </w:p>
              </w:tc>
            </w:tr>
          </w:tbl>
          <w:p w14:paraId="592C1488">
            <w:pPr>
              <w:pStyle w:val="98"/>
              <w:spacing w:line="440" w:lineRule="exact"/>
              <w:ind w:firstLine="420" w:firstLineChars="200"/>
              <w:rPr>
                <w:color w:val="auto"/>
              </w:rPr>
            </w:pPr>
            <w:r>
              <w:rPr>
                <w:rFonts w:hAnsi="宋体"/>
                <w:color w:val="auto"/>
              </w:rPr>
              <w:t>采用上述废物处置方式后，</w:t>
            </w:r>
            <w:r>
              <w:rPr>
                <w:rFonts w:hint="eastAsia" w:hAnsi="宋体"/>
                <w:color w:val="auto"/>
              </w:rPr>
              <w:t>所有固体废弃物严禁以其他任何形式无组织外排，</w:t>
            </w:r>
            <w:r>
              <w:rPr>
                <w:rFonts w:hAnsi="宋体"/>
                <w:color w:val="auto"/>
              </w:rPr>
              <w:t>拟建项目所产生的固废物均得到有效处理处置，对区域环境无显著不利影响。</w:t>
            </w:r>
          </w:p>
          <w:p w14:paraId="4AB7F5BD">
            <w:pPr>
              <w:adjustRightInd w:val="0"/>
              <w:snapToGrid w:val="0"/>
              <w:spacing w:line="360" w:lineRule="auto"/>
              <w:rPr>
                <w:color w:val="auto"/>
              </w:rPr>
            </w:pPr>
            <w:r>
              <w:rPr>
                <w:rFonts w:hint="eastAsia"/>
                <w:color w:val="auto"/>
              </w:rPr>
              <w:t>5、土壤、地下水</w:t>
            </w:r>
          </w:p>
          <w:p w14:paraId="5932DE62">
            <w:pPr>
              <w:spacing w:line="360" w:lineRule="auto"/>
              <w:ind w:firstLine="420" w:firstLineChars="200"/>
              <w:rPr>
                <w:color w:val="auto"/>
              </w:rPr>
            </w:pPr>
            <w:r>
              <w:rPr>
                <w:color w:val="auto"/>
              </w:rPr>
              <w:t>本项目厂区及堆场采取一般地面硬化措施，本项目生产过程中产生的粉尘不属于污染土壤及地下水的物质；同时本项目</w:t>
            </w:r>
            <w:r>
              <w:rPr>
                <w:rFonts w:hint="eastAsia"/>
                <w:color w:val="auto"/>
              </w:rPr>
              <w:t>净水池</w:t>
            </w:r>
            <w:r>
              <w:rPr>
                <w:color w:val="auto"/>
              </w:rPr>
              <w:t>采取防渗处理，防渗性能不低于1.5m厚渗透系数为1.0×10</w:t>
            </w:r>
            <w:r>
              <w:rPr>
                <w:color w:val="auto"/>
                <w:vertAlign w:val="superscript"/>
              </w:rPr>
              <w:t>-7</w:t>
            </w:r>
            <w:r>
              <w:rPr>
                <w:color w:val="auto"/>
              </w:rPr>
              <w:t>cm/s的黏土层，本项目不存在污染土壤、地下的污染途径，故不会对土壤及地下水产生影响。</w:t>
            </w:r>
          </w:p>
          <w:p w14:paraId="6D91F356">
            <w:pPr>
              <w:adjustRightInd w:val="0"/>
              <w:snapToGrid w:val="0"/>
              <w:spacing w:line="360" w:lineRule="auto"/>
              <w:rPr>
                <w:color w:val="auto"/>
                <w:lang w:val="zh-CN"/>
              </w:rPr>
            </w:pPr>
            <w:r>
              <w:rPr>
                <w:rFonts w:hint="eastAsia"/>
                <w:color w:val="auto"/>
              </w:rPr>
              <w:t>6</w:t>
            </w:r>
            <w:r>
              <w:rPr>
                <w:color w:val="auto"/>
              </w:rPr>
              <w:t>、</w:t>
            </w:r>
            <w:r>
              <w:rPr>
                <w:rFonts w:hint="eastAsia" w:cs="宋体"/>
                <w:color w:val="auto"/>
                <w:lang w:val="zh-CN"/>
              </w:rPr>
              <w:t>环保设施投资估算</w:t>
            </w:r>
          </w:p>
          <w:p w14:paraId="5651B0B7">
            <w:pPr>
              <w:adjustRightInd w:val="0"/>
              <w:snapToGrid w:val="0"/>
              <w:spacing w:line="360" w:lineRule="auto"/>
              <w:ind w:firstLine="420" w:firstLineChars="200"/>
              <w:rPr>
                <w:rFonts w:cs="宋体"/>
                <w:b/>
                <w:bCs/>
                <w:color w:val="auto"/>
                <w:sz w:val="24"/>
                <w:szCs w:val="24"/>
                <w:lang w:val="zh-CN"/>
              </w:rPr>
            </w:pPr>
            <w:r>
              <w:rPr>
                <w:rFonts w:hint="eastAsia" w:cs="宋体"/>
                <w:color w:val="auto"/>
              </w:rPr>
              <w:t>为了确保该项目建成后</w:t>
            </w:r>
            <w:r>
              <w:rPr>
                <w:rFonts w:hint="eastAsia" w:ascii="宋体" w:hAnsi="宋体" w:cs="宋体"/>
                <w:color w:val="auto"/>
              </w:rPr>
              <w:t>全厂</w:t>
            </w:r>
            <w:r>
              <w:rPr>
                <w:rFonts w:ascii="宋体" w:hAnsi="宋体"/>
                <w:color w:val="auto"/>
              </w:rPr>
              <w:t>“</w:t>
            </w:r>
            <w:r>
              <w:rPr>
                <w:rFonts w:hint="eastAsia" w:ascii="宋体" w:hAnsi="宋体" w:cs="宋体"/>
                <w:color w:val="auto"/>
              </w:rPr>
              <w:t>三废</w:t>
            </w:r>
            <w:r>
              <w:rPr>
                <w:rFonts w:ascii="宋体" w:hAnsi="宋体"/>
                <w:color w:val="auto"/>
              </w:rPr>
              <w:t>”</w:t>
            </w:r>
            <w:r>
              <w:rPr>
                <w:rFonts w:hint="eastAsia" w:ascii="宋体" w:hAnsi="宋体" w:cs="宋体"/>
                <w:color w:val="auto"/>
              </w:rPr>
              <w:t>排放符</w:t>
            </w:r>
            <w:r>
              <w:rPr>
                <w:rFonts w:hint="eastAsia" w:cs="宋体"/>
                <w:color w:val="auto"/>
              </w:rPr>
              <w:t>合国家排放标准和总量控制要求，创造良好的生活环境和工作环境，减轻运营过程中所带来的环境污染，根据本环评提出的施工期、运营期环保治理措施和建议，对该项目各项环保设施投资进行估算，本项目总投资为</w:t>
            </w:r>
            <w:r>
              <w:rPr>
                <w:rFonts w:hint="eastAsia"/>
                <w:color w:val="auto"/>
              </w:rPr>
              <w:t>200</w:t>
            </w:r>
            <w:r>
              <w:rPr>
                <w:rFonts w:hint="eastAsia" w:cs="宋体"/>
                <w:color w:val="auto"/>
              </w:rPr>
              <w:t>万元，其中环保投资为</w:t>
            </w:r>
            <w:r>
              <w:rPr>
                <w:rFonts w:hint="eastAsia"/>
                <w:color w:val="auto"/>
              </w:rPr>
              <w:t>33</w:t>
            </w:r>
            <w:r>
              <w:rPr>
                <w:rFonts w:hint="eastAsia" w:cs="宋体"/>
                <w:color w:val="auto"/>
              </w:rPr>
              <w:t>万元，占总投资的</w:t>
            </w:r>
            <w:r>
              <w:rPr>
                <w:rFonts w:hint="eastAsia"/>
                <w:color w:val="auto"/>
              </w:rPr>
              <w:t>16.5</w:t>
            </w:r>
            <w:r>
              <w:rPr>
                <w:color w:val="auto"/>
              </w:rPr>
              <w:t>%</w:t>
            </w:r>
            <w:r>
              <w:rPr>
                <w:rFonts w:hint="eastAsia" w:cs="宋体"/>
                <w:color w:val="auto"/>
              </w:rPr>
              <w:t>。环保投资明细详见下表。</w:t>
            </w:r>
          </w:p>
          <w:p w14:paraId="5A40B4B8">
            <w:pPr>
              <w:autoSpaceDE w:val="0"/>
              <w:autoSpaceDN w:val="0"/>
              <w:adjustRightInd w:val="0"/>
              <w:ind w:firstLine="482"/>
              <w:jc w:val="center"/>
              <w:rPr>
                <w:color w:val="auto"/>
                <w:lang w:val="zh-CN"/>
              </w:rPr>
            </w:pPr>
            <w:r>
              <w:rPr>
                <w:rFonts w:hint="eastAsia" w:cs="宋体"/>
                <w:color w:val="auto"/>
              </w:rPr>
              <w:t>环</w:t>
            </w:r>
            <w:r>
              <w:rPr>
                <w:rFonts w:hint="eastAsia" w:cs="宋体"/>
                <w:color w:val="auto"/>
                <w:lang w:val="zh-CN"/>
              </w:rPr>
              <w:t>保投资一览表</w:t>
            </w:r>
          </w:p>
          <w:tbl>
            <w:tblPr>
              <w:tblStyle w:val="24"/>
              <w:tblW w:w="786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6"/>
              <w:gridCol w:w="5116"/>
              <w:gridCol w:w="1206"/>
              <w:gridCol w:w="696"/>
            </w:tblGrid>
            <w:tr w14:paraId="49DC12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846" w:type="dxa"/>
                  <w:noWrap/>
                  <w:vAlign w:val="center"/>
                </w:tcPr>
                <w:p w14:paraId="075AC4FE">
                  <w:pPr>
                    <w:pStyle w:val="33"/>
                    <w:spacing w:beforeLines="0" w:afterLines="0" w:line="240" w:lineRule="auto"/>
                    <w:ind w:left="420" w:hanging="420"/>
                    <w:rPr>
                      <w:rFonts w:ascii="Times New Roman"/>
                      <w:color w:val="auto"/>
                      <w:szCs w:val="21"/>
                    </w:rPr>
                  </w:pPr>
                  <w:r>
                    <w:rPr>
                      <w:rFonts w:ascii="Times New Roman"/>
                      <w:color w:val="auto"/>
                      <w:szCs w:val="21"/>
                    </w:rPr>
                    <w:t>项目</w:t>
                  </w:r>
                </w:p>
              </w:tc>
              <w:tc>
                <w:tcPr>
                  <w:tcW w:w="5116" w:type="dxa"/>
                  <w:noWrap/>
                  <w:vAlign w:val="center"/>
                </w:tcPr>
                <w:p w14:paraId="67B7FA2A">
                  <w:pPr>
                    <w:pStyle w:val="33"/>
                    <w:spacing w:beforeLines="0" w:afterLines="0" w:line="240" w:lineRule="auto"/>
                    <w:ind w:left="420" w:hanging="420"/>
                    <w:rPr>
                      <w:rFonts w:ascii="Times New Roman"/>
                      <w:color w:val="auto"/>
                      <w:szCs w:val="21"/>
                    </w:rPr>
                  </w:pPr>
                  <w:r>
                    <w:rPr>
                      <w:rFonts w:ascii="Times New Roman"/>
                      <w:color w:val="auto"/>
                      <w:szCs w:val="21"/>
                    </w:rPr>
                    <w:t>防治措施</w:t>
                  </w:r>
                </w:p>
              </w:tc>
              <w:tc>
                <w:tcPr>
                  <w:tcW w:w="1206" w:type="dxa"/>
                  <w:noWrap/>
                  <w:vAlign w:val="center"/>
                </w:tcPr>
                <w:p w14:paraId="3A8F5854">
                  <w:pPr>
                    <w:pStyle w:val="33"/>
                    <w:spacing w:beforeLines="0" w:afterLines="0" w:line="240" w:lineRule="auto"/>
                    <w:ind w:left="420" w:hanging="420"/>
                    <w:rPr>
                      <w:rFonts w:ascii="Times New Roman"/>
                      <w:color w:val="auto"/>
                      <w:szCs w:val="21"/>
                    </w:rPr>
                  </w:pPr>
                  <w:r>
                    <w:rPr>
                      <w:rFonts w:ascii="Times New Roman"/>
                      <w:color w:val="auto"/>
                      <w:szCs w:val="21"/>
                    </w:rPr>
                    <w:t>环保投资</w:t>
                  </w:r>
                </w:p>
                <w:p w14:paraId="1A70835C">
                  <w:pPr>
                    <w:pStyle w:val="33"/>
                    <w:spacing w:beforeLines="0" w:afterLines="0" w:line="240" w:lineRule="auto"/>
                    <w:ind w:left="420" w:hanging="420"/>
                    <w:rPr>
                      <w:rFonts w:ascii="Times New Roman"/>
                      <w:color w:val="auto"/>
                      <w:szCs w:val="21"/>
                    </w:rPr>
                  </w:pPr>
                  <w:r>
                    <w:rPr>
                      <w:rFonts w:ascii="Times New Roman"/>
                      <w:color w:val="auto"/>
                      <w:szCs w:val="21"/>
                    </w:rPr>
                    <w:t>（万元）</w:t>
                  </w:r>
                </w:p>
              </w:tc>
              <w:tc>
                <w:tcPr>
                  <w:tcW w:w="696" w:type="dxa"/>
                  <w:noWrap/>
                  <w:vAlign w:val="center"/>
                </w:tcPr>
                <w:p w14:paraId="762A6F9B">
                  <w:pPr>
                    <w:pStyle w:val="33"/>
                    <w:spacing w:beforeLines="0" w:afterLines="0" w:line="240" w:lineRule="auto"/>
                    <w:ind w:left="420" w:hanging="420"/>
                    <w:rPr>
                      <w:rFonts w:ascii="Times New Roman"/>
                      <w:color w:val="auto"/>
                      <w:szCs w:val="21"/>
                    </w:rPr>
                  </w:pPr>
                  <w:r>
                    <w:rPr>
                      <w:rFonts w:hint="eastAsia" w:ascii="Times New Roman"/>
                      <w:color w:val="auto"/>
                      <w:szCs w:val="21"/>
                    </w:rPr>
                    <w:t>备注</w:t>
                  </w:r>
                </w:p>
              </w:tc>
            </w:tr>
            <w:tr w14:paraId="41D757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846" w:type="dxa"/>
                  <w:noWrap/>
                  <w:vAlign w:val="center"/>
                </w:tcPr>
                <w:p w14:paraId="5DDC2CF9">
                  <w:pPr>
                    <w:pStyle w:val="33"/>
                    <w:spacing w:beforeLines="0" w:afterLines="0" w:line="240" w:lineRule="auto"/>
                    <w:ind w:left="420" w:hanging="420"/>
                    <w:rPr>
                      <w:rFonts w:ascii="Times New Roman"/>
                      <w:color w:val="auto"/>
                      <w:szCs w:val="21"/>
                    </w:rPr>
                  </w:pPr>
                  <w:r>
                    <w:rPr>
                      <w:rFonts w:ascii="Times New Roman"/>
                      <w:color w:val="auto"/>
                      <w:szCs w:val="21"/>
                    </w:rPr>
                    <w:t>粉尘</w:t>
                  </w:r>
                </w:p>
              </w:tc>
              <w:tc>
                <w:tcPr>
                  <w:tcW w:w="5116" w:type="dxa"/>
                  <w:noWrap/>
                  <w:vAlign w:val="center"/>
                </w:tcPr>
                <w:p w14:paraId="26B48938">
                  <w:pPr>
                    <w:adjustRightInd w:val="0"/>
                    <w:snapToGrid w:val="0"/>
                    <w:rPr>
                      <w:color w:val="auto"/>
                    </w:rPr>
                  </w:pPr>
                  <w:r>
                    <w:rPr>
                      <w:color w:val="auto"/>
                    </w:rPr>
                    <w:t>堆场扬尘：</w:t>
                  </w:r>
                  <w:r>
                    <w:rPr>
                      <w:rFonts w:hint="eastAsia"/>
                      <w:color w:val="auto"/>
                    </w:rPr>
                    <w:t>堆场</w:t>
                  </w:r>
                  <w:r>
                    <w:rPr>
                      <w:color w:val="auto"/>
                    </w:rPr>
                    <w:t>苫布覆盖，定期进行洒水降尘。</w:t>
                  </w:r>
                </w:p>
                <w:p w14:paraId="6F95F250">
                  <w:pPr>
                    <w:adjustRightInd w:val="0"/>
                    <w:snapToGrid w:val="0"/>
                    <w:rPr>
                      <w:color w:val="auto"/>
                    </w:rPr>
                  </w:pPr>
                  <w:r>
                    <w:rPr>
                      <w:color w:val="auto"/>
                    </w:rPr>
                    <w:t>装卸扬尘：装卸过程中，采用喷淋措施减小装卸过程中的扬尘</w:t>
                  </w:r>
                  <w:r>
                    <w:rPr>
                      <w:rFonts w:hint="eastAsia"/>
                      <w:color w:val="auto"/>
                    </w:rPr>
                    <w:t>；原料/成品采用专用运输卡车，严禁敞篷运输，设置篷布遮盖并罩上防尘网，降低车速，减少运输过程中产生的粉尘，并防止物料掉落。</w:t>
                  </w:r>
                </w:p>
                <w:p w14:paraId="1F32C867">
                  <w:pPr>
                    <w:adjustRightInd w:val="0"/>
                    <w:snapToGrid w:val="0"/>
                    <w:rPr>
                      <w:color w:val="auto"/>
                    </w:rPr>
                  </w:pPr>
                  <w:r>
                    <w:rPr>
                      <w:color w:val="auto"/>
                    </w:rPr>
                    <w:t>运输扬尘：加强厂区地面清洁及定期洒水降尘。</w:t>
                  </w:r>
                </w:p>
                <w:p w14:paraId="35C6B81A">
                  <w:pPr>
                    <w:adjustRightInd w:val="0"/>
                    <w:snapToGrid w:val="0"/>
                    <w:rPr>
                      <w:color w:val="auto"/>
                    </w:rPr>
                  </w:pPr>
                  <w:r>
                    <w:rPr>
                      <w:color w:val="auto"/>
                    </w:rPr>
                    <w:t>输送粉尘：原料及产品采取传送带</w:t>
                  </w:r>
                  <w:r>
                    <w:rPr>
                      <w:rFonts w:hint="eastAsia"/>
                      <w:color w:val="auto"/>
                    </w:rPr>
                    <w:t>密闭</w:t>
                  </w:r>
                  <w:r>
                    <w:rPr>
                      <w:color w:val="auto"/>
                    </w:rPr>
                    <w:t>输送，并在传送带卸料口处安装水雾喷淋装置。</w:t>
                  </w:r>
                </w:p>
                <w:p w14:paraId="612DF0F5">
                  <w:pPr>
                    <w:adjustRightInd w:val="0"/>
                    <w:snapToGrid w:val="0"/>
                    <w:rPr>
                      <w:color w:val="auto"/>
                    </w:rPr>
                  </w:pPr>
                  <w:r>
                    <w:rPr>
                      <w:color w:val="auto"/>
                    </w:rPr>
                    <w:t>上料粉尘：在上料口安装水雾喷淋装置。</w:t>
                  </w:r>
                </w:p>
                <w:p w14:paraId="27B9E067">
                  <w:pPr>
                    <w:pStyle w:val="33"/>
                    <w:spacing w:beforeLines="0" w:afterLines="0" w:line="240" w:lineRule="auto"/>
                    <w:ind w:left="0" w:firstLine="0" w:firstLineChars="0"/>
                    <w:rPr>
                      <w:rFonts w:ascii="Times New Roman"/>
                      <w:color w:val="auto"/>
                      <w:szCs w:val="21"/>
                    </w:rPr>
                  </w:pPr>
                  <w:r>
                    <w:rPr>
                      <w:rFonts w:hint="eastAsia" w:ascii="Times New Roman"/>
                      <w:color w:val="auto"/>
                      <w:szCs w:val="21"/>
                    </w:rPr>
                    <w:t>破碎粉尘：采用密闭破碎设备，采用布袋除尘器进行除尘，废气经1根15m高排气筒排放（DA001）。</w:t>
                  </w:r>
                </w:p>
              </w:tc>
              <w:tc>
                <w:tcPr>
                  <w:tcW w:w="1206" w:type="dxa"/>
                  <w:noWrap/>
                  <w:vAlign w:val="center"/>
                </w:tcPr>
                <w:p w14:paraId="73F76725">
                  <w:pPr>
                    <w:pStyle w:val="33"/>
                    <w:spacing w:beforeLines="0" w:afterLines="0" w:line="240" w:lineRule="auto"/>
                    <w:ind w:left="420" w:hanging="420"/>
                    <w:rPr>
                      <w:rFonts w:ascii="Times New Roman"/>
                      <w:color w:val="auto"/>
                      <w:szCs w:val="21"/>
                    </w:rPr>
                  </w:pPr>
                  <w:r>
                    <w:rPr>
                      <w:rFonts w:hint="eastAsia" w:ascii="Times New Roman"/>
                      <w:color w:val="auto"/>
                      <w:szCs w:val="21"/>
                    </w:rPr>
                    <w:t>20</w:t>
                  </w:r>
                </w:p>
              </w:tc>
              <w:tc>
                <w:tcPr>
                  <w:tcW w:w="696" w:type="dxa"/>
                  <w:noWrap/>
                  <w:vAlign w:val="center"/>
                </w:tcPr>
                <w:p w14:paraId="37477932">
                  <w:pPr>
                    <w:pStyle w:val="33"/>
                    <w:spacing w:beforeLines="0" w:afterLines="0" w:line="240" w:lineRule="auto"/>
                    <w:ind w:left="420" w:hanging="420"/>
                    <w:rPr>
                      <w:rFonts w:ascii="Times New Roman"/>
                      <w:color w:val="auto"/>
                      <w:szCs w:val="21"/>
                    </w:rPr>
                  </w:pPr>
                  <w:r>
                    <w:rPr>
                      <w:rFonts w:hint="eastAsia" w:ascii="Times New Roman"/>
                      <w:color w:val="auto"/>
                      <w:szCs w:val="21"/>
                    </w:rPr>
                    <w:t>新增</w:t>
                  </w:r>
                </w:p>
              </w:tc>
            </w:tr>
            <w:tr w14:paraId="6DE4E3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846" w:type="dxa"/>
                  <w:noWrap/>
                  <w:vAlign w:val="center"/>
                </w:tcPr>
                <w:p w14:paraId="67F9AA89">
                  <w:pPr>
                    <w:pStyle w:val="33"/>
                    <w:spacing w:beforeLines="0" w:afterLines="0" w:line="240" w:lineRule="auto"/>
                    <w:ind w:left="420" w:hanging="420"/>
                    <w:rPr>
                      <w:rFonts w:ascii="Times New Roman"/>
                      <w:color w:val="auto"/>
                      <w:szCs w:val="21"/>
                    </w:rPr>
                  </w:pPr>
                  <w:r>
                    <w:rPr>
                      <w:rFonts w:ascii="Times New Roman"/>
                      <w:color w:val="auto"/>
                      <w:szCs w:val="21"/>
                    </w:rPr>
                    <w:t>废水</w:t>
                  </w:r>
                </w:p>
              </w:tc>
              <w:tc>
                <w:tcPr>
                  <w:tcW w:w="5116" w:type="dxa"/>
                  <w:noWrap/>
                  <w:vAlign w:val="center"/>
                </w:tcPr>
                <w:p w14:paraId="0881C028">
                  <w:pPr>
                    <w:pStyle w:val="33"/>
                    <w:spacing w:beforeLines="0" w:afterLines="0" w:line="240" w:lineRule="auto"/>
                    <w:ind w:left="420" w:hanging="420"/>
                    <w:rPr>
                      <w:rFonts w:ascii="Times New Roman"/>
                      <w:color w:val="auto"/>
                      <w:szCs w:val="21"/>
                    </w:rPr>
                  </w:pPr>
                  <w:r>
                    <w:rPr>
                      <w:rFonts w:ascii="Times New Roman"/>
                      <w:color w:val="auto"/>
                      <w:szCs w:val="21"/>
                    </w:rPr>
                    <w:t>生产废水排入</w:t>
                  </w:r>
                  <w:r>
                    <w:rPr>
                      <w:rFonts w:hint="eastAsia" w:ascii="Times New Roman"/>
                      <w:color w:val="auto"/>
                      <w:szCs w:val="21"/>
                    </w:rPr>
                    <w:t>水罐</w:t>
                  </w:r>
                  <w:r>
                    <w:rPr>
                      <w:rFonts w:ascii="Times New Roman"/>
                      <w:color w:val="auto"/>
                      <w:szCs w:val="21"/>
                    </w:rPr>
                    <w:t>沉淀</w:t>
                  </w:r>
                  <w:r>
                    <w:rPr>
                      <w:rFonts w:hint="eastAsia" w:ascii="Times New Roman"/>
                      <w:color w:val="auto"/>
                      <w:szCs w:val="21"/>
                    </w:rPr>
                    <w:t>/净水池（含防渗措施）</w:t>
                  </w:r>
                  <w:r>
                    <w:rPr>
                      <w:rFonts w:ascii="Times New Roman"/>
                      <w:color w:val="auto"/>
                      <w:szCs w:val="21"/>
                    </w:rPr>
                    <w:t>。</w:t>
                  </w:r>
                </w:p>
              </w:tc>
              <w:tc>
                <w:tcPr>
                  <w:tcW w:w="1206" w:type="dxa"/>
                  <w:noWrap/>
                  <w:vAlign w:val="center"/>
                </w:tcPr>
                <w:p w14:paraId="45B19F81">
                  <w:pPr>
                    <w:pStyle w:val="33"/>
                    <w:spacing w:beforeLines="0" w:afterLines="0" w:line="240" w:lineRule="auto"/>
                    <w:ind w:left="420" w:hanging="420"/>
                    <w:rPr>
                      <w:rFonts w:ascii="Times New Roman"/>
                      <w:color w:val="auto"/>
                      <w:szCs w:val="21"/>
                    </w:rPr>
                  </w:pPr>
                  <w:r>
                    <w:rPr>
                      <w:rFonts w:hint="eastAsia" w:ascii="Times New Roman"/>
                      <w:color w:val="auto"/>
                      <w:szCs w:val="21"/>
                    </w:rPr>
                    <w:t>6</w:t>
                  </w:r>
                </w:p>
              </w:tc>
              <w:tc>
                <w:tcPr>
                  <w:tcW w:w="696" w:type="dxa"/>
                  <w:noWrap/>
                  <w:vAlign w:val="center"/>
                </w:tcPr>
                <w:p w14:paraId="61BE11A0">
                  <w:pPr>
                    <w:jc w:val="center"/>
                    <w:rPr>
                      <w:color w:val="auto"/>
                    </w:rPr>
                  </w:pPr>
                  <w:r>
                    <w:rPr>
                      <w:rFonts w:hint="eastAsia"/>
                      <w:color w:val="auto"/>
                    </w:rPr>
                    <w:t>新增</w:t>
                  </w:r>
                </w:p>
              </w:tc>
            </w:tr>
            <w:tr w14:paraId="5D30E1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846" w:type="dxa"/>
                  <w:noWrap/>
                  <w:vAlign w:val="center"/>
                </w:tcPr>
                <w:p w14:paraId="7F98C0CE">
                  <w:pPr>
                    <w:pStyle w:val="33"/>
                    <w:spacing w:beforeLines="0" w:afterLines="0" w:line="240" w:lineRule="auto"/>
                    <w:ind w:left="420" w:hanging="420"/>
                    <w:rPr>
                      <w:rFonts w:ascii="Times New Roman"/>
                      <w:color w:val="auto"/>
                      <w:szCs w:val="21"/>
                    </w:rPr>
                  </w:pPr>
                  <w:r>
                    <w:rPr>
                      <w:rFonts w:ascii="Times New Roman"/>
                      <w:color w:val="auto"/>
                      <w:szCs w:val="21"/>
                    </w:rPr>
                    <w:t>噪声</w:t>
                  </w:r>
                </w:p>
              </w:tc>
              <w:tc>
                <w:tcPr>
                  <w:tcW w:w="5116" w:type="dxa"/>
                  <w:noWrap/>
                  <w:vAlign w:val="center"/>
                </w:tcPr>
                <w:p w14:paraId="306FF501">
                  <w:pPr>
                    <w:pStyle w:val="33"/>
                    <w:spacing w:beforeLines="0" w:afterLines="0" w:line="240" w:lineRule="auto"/>
                    <w:ind w:left="420" w:hanging="420"/>
                    <w:rPr>
                      <w:rFonts w:ascii="Times New Roman"/>
                      <w:color w:val="auto"/>
                      <w:szCs w:val="21"/>
                    </w:rPr>
                  </w:pPr>
                  <w:r>
                    <w:rPr>
                      <w:rFonts w:ascii="Times New Roman"/>
                      <w:color w:val="auto"/>
                      <w:szCs w:val="21"/>
                    </w:rPr>
                    <w:t>减振、厂房隔声。</w:t>
                  </w:r>
                </w:p>
              </w:tc>
              <w:tc>
                <w:tcPr>
                  <w:tcW w:w="1206" w:type="dxa"/>
                  <w:noWrap/>
                  <w:vAlign w:val="center"/>
                </w:tcPr>
                <w:p w14:paraId="37D566CD">
                  <w:pPr>
                    <w:pStyle w:val="33"/>
                    <w:spacing w:beforeLines="0" w:afterLines="0" w:line="240" w:lineRule="auto"/>
                    <w:ind w:left="420" w:hanging="420"/>
                    <w:rPr>
                      <w:rFonts w:ascii="Times New Roman"/>
                      <w:color w:val="auto"/>
                      <w:szCs w:val="21"/>
                    </w:rPr>
                  </w:pPr>
                  <w:r>
                    <w:rPr>
                      <w:rFonts w:hint="eastAsia" w:ascii="Times New Roman"/>
                      <w:color w:val="auto"/>
                      <w:szCs w:val="21"/>
                    </w:rPr>
                    <w:t>3</w:t>
                  </w:r>
                </w:p>
              </w:tc>
              <w:tc>
                <w:tcPr>
                  <w:tcW w:w="696" w:type="dxa"/>
                  <w:noWrap/>
                  <w:vAlign w:val="center"/>
                </w:tcPr>
                <w:p w14:paraId="566E8026">
                  <w:pPr>
                    <w:jc w:val="center"/>
                    <w:rPr>
                      <w:color w:val="auto"/>
                    </w:rPr>
                  </w:pPr>
                  <w:r>
                    <w:rPr>
                      <w:rFonts w:hint="eastAsia"/>
                      <w:color w:val="auto"/>
                    </w:rPr>
                    <w:t>新增</w:t>
                  </w:r>
                </w:p>
              </w:tc>
            </w:tr>
            <w:tr w14:paraId="025E0A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846" w:type="dxa"/>
                  <w:noWrap/>
                  <w:vAlign w:val="center"/>
                </w:tcPr>
                <w:p w14:paraId="1B9FB344">
                  <w:pPr>
                    <w:jc w:val="center"/>
                    <w:rPr>
                      <w:color w:val="auto"/>
                    </w:rPr>
                  </w:pPr>
                  <w:r>
                    <w:rPr>
                      <w:color w:val="auto"/>
                    </w:rPr>
                    <w:t>固废</w:t>
                  </w:r>
                </w:p>
              </w:tc>
              <w:tc>
                <w:tcPr>
                  <w:tcW w:w="5116" w:type="dxa"/>
                  <w:noWrap/>
                  <w:vAlign w:val="center"/>
                </w:tcPr>
                <w:p w14:paraId="71CD730A">
                  <w:pPr>
                    <w:pStyle w:val="33"/>
                    <w:spacing w:beforeLines="0" w:afterLines="0" w:line="240" w:lineRule="auto"/>
                    <w:ind w:left="420" w:hanging="420"/>
                    <w:rPr>
                      <w:rFonts w:ascii="Times New Roman"/>
                      <w:color w:val="auto"/>
                      <w:szCs w:val="21"/>
                    </w:rPr>
                  </w:pPr>
                  <w:r>
                    <w:rPr>
                      <w:rFonts w:ascii="Times New Roman"/>
                      <w:color w:val="auto"/>
                      <w:szCs w:val="21"/>
                    </w:rPr>
                    <w:t>生活垃圾由环卫部门清运；</w:t>
                  </w:r>
                  <w:r>
                    <w:rPr>
                      <w:rFonts w:hint="eastAsia" w:ascii="Times New Roman"/>
                      <w:color w:val="auto"/>
                      <w:szCs w:val="21"/>
                    </w:rPr>
                    <w:t>除尘灰、</w:t>
                  </w:r>
                  <w:r>
                    <w:rPr>
                      <w:rFonts w:ascii="Times New Roman"/>
                      <w:color w:val="auto"/>
                      <w:szCs w:val="21"/>
                    </w:rPr>
                    <w:t>沉淀物</w:t>
                  </w:r>
                  <w:r>
                    <w:rPr>
                      <w:rFonts w:hint="eastAsia" w:ascii="Times New Roman"/>
                      <w:color w:val="auto"/>
                      <w:szCs w:val="21"/>
                    </w:rPr>
                    <w:t>经压滤机处理后，作为筑路材料</w:t>
                  </w:r>
                  <w:r>
                    <w:rPr>
                      <w:rFonts w:ascii="Times New Roman"/>
                      <w:color w:val="auto"/>
                      <w:szCs w:val="21"/>
                    </w:rPr>
                    <w:t>。</w:t>
                  </w:r>
                </w:p>
              </w:tc>
              <w:tc>
                <w:tcPr>
                  <w:tcW w:w="1206" w:type="dxa"/>
                  <w:noWrap/>
                  <w:vAlign w:val="center"/>
                </w:tcPr>
                <w:p w14:paraId="50759859">
                  <w:pPr>
                    <w:pStyle w:val="33"/>
                    <w:spacing w:beforeLines="0" w:afterLines="0" w:line="240" w:lineRule="auto"/>
                    <w:ind w:left="420" w:hanging="420"/>
                    <w:rPr>
                      <w:rFonts w:ascii="Times New Roman"/>
                      <w:color w:val="auto"/>
                      <w:szCs w:val="21"/>
                    </w:rPr>
                  </w:pPr>
                  <w:r>
                    <w:rPr>
                      <w:rFonts w:hint="eastAsia" w:ascii="Times New Roman"/>
                      <w:color w:val="auto"/>
                      <w:szCs w:val="21"/>
                    </w:rPr>
                    <w:t>4</w:t>
                  </w:r>
                </w:p>
              </w:tc>
              <w:tc>
                <w:tcPr>
                  <w:tcW w:w="696" w:type="dxa"/>
                  <w:noWrap/>
                  <w:vAlign w:val="center"/>
                </w:tcPr>
                <w:p w14:paraId="08F03DA3">
                  <w:pPr>
                    <w:pStyle w:val="33"/>
                    <w:spacing w:beforeLines="0" w:afterLines="0" w:line="240" w:lineRule="auto"/>
                    <w:ind w:left="420" w:hanging="420"/>
                    <w:rPr>
                      <w:rFonts w:ascii="Times New Roman"/>
                      <w:color w:val="auto"/>
                      <w:szCs w:val="21"/>
                    </w:rPr>
                  </w:pPr>
                  <w:r>
                    <w:rPr>
                      <w:rFonts w:hint="eastAsia" w:ascii="Times New Roman"/>
                      <w:color w:val="auto"/>
                      <w:szCs w:val="21"/>
                    </w:rPr>
                    <w:t>新增</w:t>
                  </w:r>
                </w:p>
              </w:tc>
            </w:tr>
            <w:tr w14:paraId="24D34A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5962" w:type="dxa"/>
                  <w:gridSpan w:val="2"/>
                  <w:noWrap/>
                  <w:vAlign w:val="center"/>
                </w:tcPr>
                <w:p w14:paraId="1A1325FF">
                  <w:pPr>
                    <w:pStyle w:val="33"/>
                    <w:spacing w:beforeLines="0" w:afterLines="0" w:line="240" w:lineRule="auto"/>
                    <w:ind w:left="420" w:hanging="420"/>
                    <w:rPr>
                      <w:rFonts w:ascii="Times New Roman"/>
                      <w:color w:val="auto"/>
                      <w:szCs w:val="21"/>
                    </w:rPr>
                  </w:pPr>
                  <w:r>
                    <w:rPr>
                      <w:rFonts w:ascii="Times New Roman"/>
                      <w:color w:val="auto"/>
                      <w:szCs w:val="21"/>
                    </w:rPr>
                    <w:t>合   计</w:t>
                  </w:r>
                </w:p>
              </w:tc>
              <w:tc>
                <w:tcPr>
                  <w:tcW w:w="1206" w:type="dxa"/>
                  <w:noWrap/>
                  <w:vAlign w:val="center"/>
                </w:tcPr>
                <w:p w14:paraId="6F7EDFBE">
                  <w:pPr>
                    <w:pStyle w:val="33"/>
                    <w:spacing w:beforeLines="0" w:afterLines="0" w:line="240" w:lineRule="auto"/>
                    <w:ind w:left="420" w:hanging="420"/>
                    <w:rPr>
                      <w:rFonts w:ascii="Times New Roman"/>
                      <w:color w:val="auto"/>
                      <w:szCs w:val="21"/>
                    </w:rPr>
                  </w:pPr>
                  <w:r>
                    <w:rPr>
                      <w:rFonts w:hint="eastAsia" w:ascii="Times New Roman"/>
                      <w:color w:val="auto"/>
                      <w:szCs w:val="21"/>
                    </w:rPr>
                    <w:t>33</w:t>
                  </w:r>
                </w:p>
              </w:tc>
              <w:tc>
                <w:tcPr>
                  <w:tcW w:w="696" w:type="dxa"/>
                  <w:noWrap/>
                  <w:vAlign w:val="center"/>
                </w:tcPr>
                <w:p w14:paraId="52B14E2B">
                  <w:pPr>
                    <w:pStyle w:val="33"/>
                    <w:spacing w:beforeLines="0" w:afterLines="0" w:line="240" w:lineRule="auto"/>
                    <w:ind w:left="420" w:hanging="420"/>
                    <w:rPr>
                      <w:rFonts w:ascii="Times New Roman"/>
                      <w:color w:val="auto"/>
                      <w:szCs w:val="21"/>
                    </w:rPr>
                  </w:pPr>
                </w:p>
              </w:tc>
            </w:tr>
          </w:tbl>
          <w:p w14:paraId="46E8DC52">
            <w:pPr>
              <w:adjustRightInd w:val="0"/>
              <w:snapToGrid w:val="0"/>
              <w:spacing w:line="336" w:lineRule="auto"/>
              <w:rPr>
                <w:rFonts w:ascii="宋体" w:hAnsi="宋体" w:cs="宋体"/>
                <w:bCs/>
                <w:color w:val="auto"/>
                <w:spacing w:val="-10"/>
              </w:rPr>
            </w:pPr>
          </w:p>
        </w:tc>
      </w:tr>
    </w:tbl>
    <w:p w14:paraId="5B7DAB34">
      <w:pPr>
        <w:adjustRightInd w:val="0"/>
        <w:snapToGrid w:val="0"/>
        <w:spacing w:line="360" w:lineRule="auto"/>
        <w:rPr>
          <w:rFonts w:ascii="宋体" w:cs="宋体"/>
          <w:b/>
          <w:color w:val="auto"/>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6E44F50B">
      <w:pPr>
        <w:pStyle w:val="21"/>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w:t>
      </w:r>
      <w:bookmarkStart w:id="5" w:name="_Hlk54167917"/>
      <w:r>
        <w:rPr>
          <w:rFonts w:hint="eastAsia" w:ascii="黑体" w:hAnsi="黑体" w:eastAsia="黑体"/>
          <w:snapToGrid w:val="0"/>
          <w:color w:val="auto"/>
          <w:sz w:val="30"/>
          <w:szCs w:val="30"/>
        </w:rPr>
        <w:t>环境保护措施监督检查清单</w:t>
      </w:r>
      <w:bookmarkEnd w:id="5"/>
    </w:p>
    <w:tbl>
      <w:tblPr>
        <w:tblStyle w:val="24"/>
        <w:tblW w:w="92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265"/>
        <w:gridCol w:w="2603"/>
        <w:gridCol w:w="1850"/>
      </w:tblGrid>
      <w:tr w14:paraId="16F9EF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tcPr>
          <w:p w14:paraId="04EDBC30">
            <w:pPr>
              <w:adjustRightInd w:val="0"/>
              <w:snapToGrid w:val="0"/>
              <w:ind w:firstLine="840"/>
              <w:rPr>
                <w:rFonts w:ascii="宋体" w:hAnsi="宋体" w:cs="宋体"/>
                <w:color w:val="auto"/>
              </w:rPr>
            </w:pPr>
            <w:r>
              <w:rPr>
                <w:rFonts w:hint="eastAsia" w:ascii="宋体" w:hAnsi="宋体" w:cs="宋体"/>
                <w:color w:val="auto"/>
              </w:rPr>
              <w:t>内容</w:t>
            </w:r>
          </w:p>
          <w:p w14:paraId="01588005">
            <w:pPr>
              <w:adjustRightInd w:val="0"/>
              <w:snapToGrid w:val="0"/>
              <w:rPr>
                <w:rFonts w:ascii="宋体" w:hAnsi="宋体" w:cs="宋体"/>
                <w:color w:val="auto"/>
              </w:rPr>
            </w:pPr>
            <w:r>
              <w:rPr>
                <w:rFonts w:hint="eastAsia" w:ascii="宋体" w:hAnsi="宋体" w:cs="宋体"/>
                <w:color w:val="auto"/>
              </w:rPr>
              <w:t>要素</w:t>
            </w:r>
          </w:p>
        </w:tc>
        <w:tc>
          <w:tcPr>
            <w:tcW w:w="1755" w:type="dxa"/>
            <w:vAlign w:val="center"/>
          </w:tcPr>
          <w:p w14:paraId="6E30A8C0">
            <w:pPr>
              <w:adjustRightInd w:val="0"/>
              <w:snapToGrid w:val="0"/>
              <w:jc w:val="center"/>
              <w:rPr>
                <w:rFonts w:ascii="宋体" w:hAnsi="宋体" w:cs="宋体"/>
                <w:color w:val="auto"/>
              </w:rPr>
            </w:pPr>
            <w:r>
              <w:rPr>
                <w:rFonts w:hint="eastAsia" w:ascii="宋体" w:hAnsi="宋体" w:cs="宋体"/>
                <w:color w:val="auto"/>
              </w:rPr>
              <w:t>排放口(编号、</w:t>
            </w:r>
          </w:p>
          <w:p w14:paraId="5C40FB04">
            <w:pPr>
              <w:adjustRightInd w:val="0"/>
              <w:snapToGrid w:val="0"/>
              <w:jc w:val="center"/>
              <w:rPr>
                <w:rFonts w:ascii="宋体" w:hAnsi="宋体" w:cs="宋体"/>
                <w:color w:val="auto"/>
              </w:rPr>
            </w:pPr>
            <w:r>
              <w:rPr>
                <w:rFonts w:hint="eastAsia" w:ascii="宋体" w:hAnsi="宋体" w:cs="宋体"/>
                <w:color w:val="auto"/>
              </w:rPr>
              <w:t>名称)/污染源</w:t>
            </w:r>
          </w:p>
        </w:tc>
        <w:tc>
          <w:tcPr>
            <w:tcW w:w="1265" w:type="dxa"/>
            <w:vAlign w:val="center"/>
          </w:tcPr>
          <w:p w14:paraId="1E45632F">
            <w:pPr>
              <w:adjustRightInd w:val="0"/>
              <w:snapToGrid w:val="0"/>
              <w:jc w:val="center"/>
              <w:rPr>
                <w:rFonts w:ascii="宋体" w:hAnsi="宋体" w:cs="宋体"/>
                <w:color w:val="auto"/>
              </w:rPr>
            </w:pPr>
            <w:r>
              <w:rPr>
                <w:rFonts w:hint="eastAsia" w:ascii="宋体" w:hAnsi="宋体" w:cs="宋体"/>
                <w:color w:val="auto"/>
              </w:rPr>
              <w:t>污染物</w:t>
            </w:r>
          </w:p>
          <w:p w14:paraId="368598A5">
            <w:pPr>
              <w:adjustRightInd w:val="0"/>
              <w:snapToGrid w:val="0"/>
              <w:jc w:val="center"/>
              <w:rPr>
                <w:rFonts w:ascii="宋体" w:hAnsi="宋体" w:cs="宋体"/>
                <w:color w:val="auto"/>
              </w:rPr>
            </w:pPr>
            <w:r>
              <w:rPr>
                <w:rFonts w:hint="eastAsia" w:ascii="宋体" w:hAnsi="宋体" w:cs="宋体"/>
                <w:color w:val="auto"/>
              </w:rPr>
              <w:t>项目</w:t>
            </w:r>
          </w:p>
        </w:tc>
        <w:tc>
          <w:tcPr>
            <w:tcW w:w="2603" w:type="dxa"/>
            <w:vAlign w:val="center"/>
          </w:tcPr>
          <w:p w14:paraId="572846FF">
            <w:pPr>
              <w:adjustRightInd w:val="0"/>
              <w:snapToGrid w:val="0"/>
              <w:jc w:val="center"/>
              <w:rPr>
                <w:rFonts w:ascii="宋体" w:hAnsi="宋体" w:cs="宋体"/>
                <w:color w:val="auto"/>
              </w:rPr>
            </w:pPr>
            <w:r>
              <w:rPr>
                <w:rFonts w:hint="eastAsia" w:ascii="宋体" w:hAnsi="宋体" w:cs="宋体"/>
                <w:color w:val="auto"/>
              </w:rPr>
              <w:t>环境保护措施</w:t>
            </w:r>
          </w:p>
        </w:tc>
        <w:tc>
          <w:tcPr>
            <w:tcW w:w="1850" w:type="dxa"/>
            <w:vAlign w:val="center"/>
          </w:tcPr>
          <w:p w14:paraId="65257C75">
            <w:pPr>
              <w:adjustRightInd w:val="0"/>
              <w:snapToGrid w:val="0"/>
              <w:jc w:val="center"/>
              <w:rPr>
                <w:rFonts w:ascii="宋体" w:hAnsi="宋体" w:cs="宋体"/>
                <w:color w:val="auto"/>
              </w:rPr>
            </w:pPr>
            <w:r>
              <w:rPr>
                <w:rFonts w:hint="eastAsia" w:ascii="宋体" w:hAnsi="宋体" w:cs="宋体"/>
                <w:color w:val="auto"/>
              </w:rPr>
              <w:t>执行标准</w:t>
            </w:r>
          </w:p>
        </w:tc>
      </w:tr>
      <w:tr w14:paraId="503373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778" w:type="dxa"/>
            <w:vMerge w:val="restart"/>
            <w:vAlign w:val="center"/>
          </w:tcPr>
          <w:p w14:paraId="7CE15741">
            <w:pPr>
              <w:adjustRightInd w:val="0"/>
              <w:snapToGrid w:val="0"/>
              <w:jc w:val="center"/>
              <w:rPr>
                <w:rFonts w:ascii="宋体" w:hAnsi="宋体" w:cs="宋体"/>
                <w:color w:val="auto"/>
              </w:rPr>
            </w:pPr>
            <w:r>
              <w:rPr>
                <w:rFonts w:hint="eastAsia" w:ascii="宋体" w:hAnsi="宋体" w:cs="宋体"/>
                <w:color w:val="auto"/>
              </w:rPr>
              <w:t>大气环境</w:t>
            </w:r>
          </w:p>
        </w:tc>
        <w:tc>
          <w:tcPr>
            <w:tcW w:w="1755" w:type="dxa"/>
            <w:vAlign w:val="center"/>
          </w:tcPr>
          <w:p w14:paraId="0C2A501B">
            <w:pPr>
              <w:jc w:val="center"/>
              <w:rPr>
                <w:color w:val="auto"/>
              </w:rPr>
            </w:pPr>
            <w:r>
              <w:rPr>
                <w:color w:val="auto"/>
                <w:spacing w:val="-9"/>
              </w:rPr>
              <w:t>原料</w:t>
            </w:r>
            <w:r>
              <w:rPr>
                <w:color w:val="auto"/>
              </w:rPr>
              <w:t>堆场扬尘</w:t>
            </w:r>
          </w:p>
        </w:tc>
        <w:tc>
          <w:tcPr>
            <w:tcW w:w="1265" w:type="dxa"/>
            <w:vMerge w:val="restart"/>
            <w:vAlign w:val="center"/>
          </w:tcPr>
          <w:p w14:paraId="719208AF">
            <w:pPr>
              <w:adjustRightInd w:val="0"/>
              <w:snapToGrid w:val="0"/>
              <w:jc w:val="center"/>
              <w:rPr>
                <w:rFonts w:ascii="宋体" w:hAnsi="宋体" w:cs="宋体"/>
                <w:color w:val="auto"/>
              </w:rPr>
            </w:pPr>
            <w:r>
              <w:rPr>
                <w:rFonts w:hint="eastAsia" w:ascii="宋体" w:hAnsi="宋体" w:cs="宋体"/>
                <w:color w:val="auto"/>
              </w:rPr>
              <w:t>颗粒物</w:t>
            </w:r>
          </w:p>
        </w:tc>
        <w:tc>
          <w:tcPr>
            <w:tcW w:w="2603" w:type="dxa"/>
            <w:vAlign w:val="center"/>
          </w:tcPr>
          <w:p w14:paraId="5262D244">
            <w:pPr>
              <w:jc w:val="center"/>
              <w:rPr>
                <w:rFonts w:ascii="宋体" w:hAnsi="宋体" w:cs="宋体"/>
                <w:color w:val="auto"/>
              </w:rPr>
            </w:pPr>
            <w:r>
              <w:rPr>
                <w:rFonts w:hint="eastAsia"/>
                <w:color w:val="auto"/>
                <w:spacing w:val="-2"/>
                <w:lang w:val="en-US" w:eastAsia="zh-CN"/>
              </w:rPr>
              <w:t>围挡、</w:t>
            </w:r>
            <w:r>
              <w:rPr>
                <w:rFonts w:hint="eastAsia"/>
                <w:color w:val="auto"/>
                <w:spacing w:val="-2"/>
              </w:rPr>
              <w:t>地面硬化、</w:t>
            </w:r>
            <w:r>
              <w:rPr>
                <w:color w:val="auto"/>
                <w:spacing w:val="-2"/>
              </w:rPr>
              <w:t>定期洒水、苫布覆盖</w:t>
            </w:r>
          </w:p>
        </w:tc>
        <w:tc>
          <w:tcPr>
            <w:tcW w:w="1850" w:type="dxa"/>
            <w:vMerge w:val="restart"/>
            <w:vAlign w:val="center"/>
          </w:tcPr>
          <w:p w14:paraId="1DA9D5B7">
            <w:pPr>
              <w:adjustRightInd w:val="0"/>
              <w:snapToGrid w:val="0"/>
              <w:jc w:val="center"/>
              <w:rPr>
                <w:color w:val="auto"/>
              </w:rPr>
            </w:pPr>
            <w:r>
              <w:rPr>
                <w:color w:val="auto"/>
              </w:rPr>
              <w:t>GB16297-1996《大气污染物综合排放标准》</w:t>
            </w:r>
          </w:p>
          <w:p w14:paraId="6E6EFF3D">
            <w:pPr>
              <w:adjustRightInd w:val="0"/>
              <w:snapToGrid w:val="0"/>
              <w:jc w:val="center"/>
              <w:rPr>
                <w:color w:val="auto"/>
              </w:rPr>
            </w:pPr>
          </w:p>
        </w:tc>
      </w:tr>
      <w:tr w14:paraId="563EE8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1778" w:type="dxa"/>
            <w:vMerge w:val="continue"/>
            <w:vAlign w:val="center"/>
          </w:tcPr>
          <w:p w14:paraId="3032FD6A">
            <w:pPr>
              <w:adjustRightInd w:val="0"/>
              <w:snapToGrid w:val="0"/>
              <w:jc w:val="center"/>
              <w:rPr>
                <w:rFonts w:ascii="宋体" w:hAnsi="宋体" w:cs="宋体"/>
                <w:color w:val="auto"/>
              </w:rPr>
            </w:pPr>
          </w:p>
        </w:tc>
        <w:tc>
          <w:tcPr>
            <w:tcW w:w="1755" w:type="dxa"/>
            <w:vAlign w:val="center"/>
          </w:tcPr>
          <w:p w14:paraId="314862E2">
            <w:pPr>
              <w:jc w:val="center"/>
              <w:rPr>
                <w:color w:val="auto"/>
              </w:rPr>
            </w:pPr>
            <w:r>
              <w:rPr>
                <w:color w:val="auto"/>
              </w:rPr>
              <w:t>上料粉尘</w:t>
            </w:r>
          </w:p>
        </w:tc>
        <w:tc>
          <w:tcPr>
            <w:tcW w:w="1265" w:type="dxa"/>
            <w:vMerge w:val="continue"/>
            <w:vAlign w:val="center"/>
          </w:tcPr>
          <w:p w14:paraId="5A4BBDAD">
            <w:pPr>
              <w:adjustRightInd w:val="0"/>
              <w:snapToGrid w:val="0"/>
              <w:jc w:val="center"/>
              <w:rPr>
                <w:rFonts w:ascii="宋体" w:hAnsi="宋体" w:cs="宋体"/>
                <w:color w:val="auto"/>
              </w:rPr>
            </w:pPr>
          </w:p>
        </w:tc>
        <w:tc>
          <w:tcPr>
            <w:tcW w:w="2603" w:type="dxa"/>
            <w:vAlign w:val="center"/>
          </w:tcPr>
          <w:p w14:paraId="0A524CE9">
            <w:pPr>
              <w:jc w:val="center"/>
              <w:rPr>
                <w:rFonts w:ascii="宋体" w:hAnsi="宋体" w:cs="宋体"/>
                <w:color w:val="auto"/>
              </w:rPr>
            </w:pPr>
            <w:r>
              <w:rPr>
                <w:color w:val="auto"/>
                <w:spacing w:val="-4"/>
                <w:position w:val="2"/>
              </w:rPr>
              <w:t>喷淋</w:t>
            </w:r>
          </w:p>
        </w:tc>
        <w:tc>
          <w:tcPr>
            <w:tcW w:w="1850" w:type="dxa"/>
            <w:vMerge w:val="continue"/>
            <w:vAlign w:val="center"/>
          </w:tcPr>
          <w:p w14:paraId="7F80C7A0">
            <w:pPr>
              <w:autoSpaceDE w:val="0"/>
              <w:autoSpaceDN w:val="0"/>
              <w:adjustRightInd w:val="0"/>
              <w:snapToGrid w:val="0"/>
              <w:jc w:val="left"/>
              <w:rPr>
                <w:color w:val="auto"/>
              </w:rPr>
            </w:pPr>
          </w:p>
        </w:tc>
      </w:tr>
      <w:tr w14:paraId="5802B3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778" w:type="dxa"/>
            <w:vMerge w:val="continue"/>
            <w:vAlign w:val="center"/>
          </w:tcPr>
          <w:p w14:paraId="72D1ED00">
            <w:pPr>
              <w:adjustRightInd w:val="0"/>
              <w:snapToGrid w:val="0"/>
              <w:jc w:val="center"/>
              <w:rPr>
                <w:rFonts w:ascii="宋体" w:hAnsi="宋体" w:cs="宋体"/>
                <w:color w:val="auto"/>
              </w:rPr>
            </w:pPr>
          </w:p>
        </w:tc>
        <w:tc>
          <w:tcPr>
            <w:tcW w:w="1755" w:type="dxa"/>
            <w:vAlign w:val="center"/>
          </w:tcPr>
          <w:p w14:paraId="300BEAC3">
            <w:pPr>
              <w:jc w:val="center"/>
              <w:rPr>
                <w:color w:val="auto"/>
              </w:rPr>
            </w:pPr>
            <w:r>
              <w:rPr>
                <w:color w:val="auto"/>
              </w:rPr>
              <w:t>运输扬尘</w:t>
            </w:r>
          </w:p>
        </w:tc>
        <w:tc>
          <w:tcPr>
            <w:tcW w:w="1265" w:type="dxa"/>
            <w:vMerge w:val="continue"/>
            <w:vAlign w:val="center"/>
          </w:tcPr>
          <w:p w14:paraId="4E531EA3">
            <w:pPr>
              <w:adjustRightInd w:val="0"/>
              <w:snapToGrid w:val="0"/>
              <w:jc w:val="center"/>
              <w:rPr>
                <w:rFonts w:ascii="宋体" w:hAnsi="宋体" w:cs="宋体"/>
                <w:color w:val="auto"/>
              </w:rPr>
            </w:pPr>
          </w:p>
        </w:tc>
        <w:tc>
          <w:tcPr>
            <w:tcW w:w="2603" w:type="dxa"/>
            <w:vAlign w:val="center"/>
          </w:tcPr>
          <w:p w14:paraId="618A29E8">
            <w:pPr>
              <w:jc w:val="center"/>
              <w:rPr>
                <w:color w:val="auto"/>
              </w:rPr>
            </w:pPr>
            <w:r>
              <w:rPr>
                <w:rFonts w:hint="eastAsia"/>
                <w:color w:val="auto"/>
                <w:spacing w:val="-4"/>
              </w:rPr>
              <w:t>地面硬化、</w:t>
            </w:r>
            <w:r>
              <w:rPr>
                <w:color w:val="auto"/>
                <w:spacing w:val="-4"/>
              </w:rPr>
              <w:t>及时清扫、定时洒水</w:t>
            </w:r>
          </w:p>
        </w:tc>
        <w:tc>
          <w:tcPr>
            <w:tcW w:w="1850" w:type="dxa"/>
            <w:vMerge w:val="continue"/>
            <w:vAlign w:val="center"/>
          </w:tcPr>
          <w:p w14:paraId="0CE896AF">
            <w:pPr>
              <w:autoSpaceDE w:val="0"/>
              <w:autoSpaceDN w:val="0"/>
              <w:adjustRightInd w:val="0"/>
              <w:snapToGrid w:val="0"/>
              <w:jc w:val="left"/>
              <w:rPr>
                <w:color w:val="auto"/>
              </w:rPr>
            </w:pPr>
          </w:p>
        </w:tc>
      </w:tr>
      <w:tr w14:paraId="0397F5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778" w:type="dxa"/>
            <w:vMerge w:val="continue"/>
            <w:vAlign w:val="center"/>
          </w:tcPr>
          <w:p w14:paraId="6EDEEEE6">
            <w:pPr>
              <w:adjustRightInd w:val="0"/>
              <w:snapToGrid w:val="0"/>
              <w:jc w:val="center"/>
              <w:rPr>
                <w:rFonts w:ascii="宋体" w:hAnsi="宋体" w:cs="宋体"/>
                <w:color w:val="auto"/>
              </w:rPr>
            </w:pPr>
          </w:p>
        </w:tc>
        <w:tc>
          <w:tcPr>
            <w:tcW w:w="1755" w:type="dxa"/>
            <w:vAlign w:val="center"/>
          </w:tcPr>
          <w:p w14:paraId="30A65B08">
            <w:pPr>
              <w:jc w:val="center"/>
              <w:rPr>
                <w:color w:val="auto"/>
              </w:rPr>
            </w:pPr>
            <w:r>
              <w:rPr>
                <w:color w:val="auto"/>
              </w:rPr>
              <w:t>输送粉尘</w:t>
            </w:r>
          </w:p>
        </w:tc>
        <w:tc>
          <w:tcPr>
            <w:tcW w:w="1265" w:type="dxa"/>
            <w:vMerge w:val="continue"/>
            <w:vAlign w:val="center"/>
          </w:tcPr>
          <w:p w14:paraId="59244EB2">
            <w:pPr>
              <w:adjustRightInd w:val="0"/>
              <w:snapToGrid w:val="0"/>
              <w:jc w:val="center"/>
              <w:rPr>
                <w:rFonts w:ascii="宋体" w:hAnsi="宋体" w:cs="宋体"/>
                <w:color w:val="auto"/>
              </w:rPr>
            </w:pPr>
          </w:p>
        </w:tc>
        <w:tc>
          <w:tcPr>
            <w:tcW w:w="2603" w:type="dxa"/>
            <w:vAlign w:val="center"/>
          </w:tcPr>
          <w:p w14:paraId="3E785A96">
            <w:pPr>
              <w:jc w:val="center"/>
              <w:rPr>
                <w:color w:val="auto"/>
              </w:rPr>
            </w:pPr>
            <w:r>
              <w:rPr>
                <w:rFonts w:hint="eastAsia"/>
                <w:color w:val="auto"/>
                <w:spacing w:val="-4"/>
                <w:position w:val="2"/>
              </w:rPr>
              <w:t>密闭输送、</w:t>
            </w:r>
            <w:r>
              <w:rPr>
                <w:color w:val="auto"/>
                <w:spacing w:val="-4"/>
                <w:position w:val="2"/>
              </w:rPr>
              <w:t>喷淋</w:t>
            </w:r>
          </w:p>
        </w:tc>
        <w:tc>
          <w:tcPr>
            <w:tcW w:w="1850" w:type="dxa"/>
            <w:vMerge w:val="continue"/>
            <w:vAlign w:val="center"/>
          </w:tcPr>
          <w:p w14:paraId="43B0258F">
            <w:pPr>
              <w:autoSpaceDE w:val="0"/>
              <w:autoSpaceDN w:val="0"/>
              <w:adjustRightInd w:val="0"/>
              <w:snapToGrid w:val="0"/>
              <w:jc w:val="left"/>
              <w:rPr>
                <w:color w:val="auto"/>
              </w:rPr>
            </w:pPr>
          </w:p>
        </w:tc>
      </w:tr>
      <w:tr w14:paraId="5FA3D4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778" w:type="dxa"/>
            <w:vMerge w:val="continue"/>
            <w:vAlign w:val="center"/>
          </w:tcPr>
          <w:p w14:paraId="7B20DB37">
            <w:pPr>
              <w:adjustRightInd w:val="0"/>
              <w:snapToGrid w:val="0"/>
              <w:jc w:val="center"/>
              <w:rPr>
                <w:rFonts w:ascii="宋体" w:hAnsi="宋体" w:cs="宋体"/>
                <w:color w:val="auto"/>
              </w:rPr>
            </w:pPr>
          </w:p>
        </w:tc>
        <w:tc>
          <w:tcPr>
            <w:tcW w:w="1755" w:type="dxa"/>
            <w:vAlign w:val="center"/>
          </w:tcPr>
          <w:p w14:paraId="0A646FDB">
            <w:pPr>
              <w:jc w:val="center"/>
              <w:rPr>
                <w:i/>
                <w:iCs/>
                <w:color w:val="auto"/>
                <w:u w:val="single"/>
              </w:rPr>
            </w:pPr>
            <w:r>
              <w:rPr>
                <w:i/>
                <w:iCs/>
                <w:color w:val="auto"/>
                <w:u w:val="single"/>
              </w:rPr>
              <w:t>破碎粉尘</w:t>
            </w:r>
          </w:p>
        </w:tc>
        <w:tc>
          <w:tcPr>
            <w:tcW w:w="1265" w:type="dxa"/>
            <w:vMerge w:val="continue"/>
            <w:vAlign w:val="center"/>
          </w:tcPr>
          <w:p w14:paraId="619491D5">
            <w:pPr>
              <w:adjustRightInd w:val="0"/>
              <w:snapToGrid w:val="0"/>
              <w:jc w:val="center"/>
              <w:rPr>
                <w:rFonts w:ascii="宋体" w:hAnsi="宋体" w:cs="宋体"/>
                <w:i/>
                <w:iCs/>
                <w:color w:val="auto"/>
                <w:u w:val="single"/>
              </w:rPr>
            </w:pPr>
          </w:p>
        </w:tc>
        <w:tc>
          <w:tcPr>
            <w:tcW w:w="2603" w:type="dxa"/>
            <w:vAlign w:val="center"/>
          </w:tcPr>
          <w:p w14:paraId="04F3ECF0">
            <w:pPr>
              <w:jc w:val="center"/>
              <w:rPr>
                <w:i/>
                <w:iCs/>
                <w:color w:val="auto"/>
                <w:u w:val="single"/>
              </w:rPr>
            </w:pPr>
            <w:r>
              <w:rPr>
                <w:rFonts w:hint="eastAsia"/>
                <w:i/>
                <w:iCs/>
                <w:color w:val="auto"/>
                <w:spacing w:val="-4"/>
                <w:position w:val="2"/>
                <w:u w:val="single"/>
              </w:rPr>
              <w:t>设备密闭，布袋除尘器+15m高排气筒（DA001）</w:t>
            </w:r>
          </w:p>
        </w:tc>
        <w:tc>
          <w:tcPr>
            <w:tcW w:w="1850" w:type="dxa"/>
            <w:vMerge w:val="continue"/>
            <w:vAlign w:val="center"/>
          </w:tcPr>
          <w:p w14:paraId="23E51436">
            <w:pPr>
              <w:adjustRightInd w:val="0"/>
              <w:snapToGrid w:val="0"/>
              <w:jc w:val="center"/>
              <w:rPr>
                <w:color w:val="auto"/>
              </w:rPr>
            </w:pPr>
          </w:p>
        </w:tc>
      </w:tr>
      <w:tr w14:paraId="034E7D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1778" w:type="dxa"/>
            <w:vMerge w:val="restart"/>
            <w:vAlign w:val="center"/>
          </w:tcPr>
          <w:p w14:paraId="6D0FC4D7">
            <w:pPr>
              <w:adjustRightInd w:val="0"/>
              <w:snapToGrid w:val="0"/>
              <w:jc w:val="center"/>
              <w:rPr>
                <w:rFonts w:ascii="宋体" w:hAnsi="宋体" w:cs="宋体"/>
                <w:color w:val="auto"/>
              </w:rPr>
            </w:pPr>
            <w:r>
              <w:rPr>
                <w:rFonts w:hint="eastAsia" w:ascii="宋体" w:hAnsi="宋体" w:cs="宋体"/>
                <w:color w:val="auto"/>
              </w:rPr>
              <w:t>地表水环境</w:t>
            </w:r>
          </w:p>
        </w:tc>
        <w:tc>
          <w:tcPr>
            <w:tcW w:w="1755" w:type="dxa"/>
            <w:vAlign w:val="center"/>
          </w:tcPr>
          <w:p w14:paraId="2FA611D6">
            <w:pPr>
              <w:adjustRightInd w:val="0"/>
              <w:snapToGrid w:val="0"/>
              <w:jc w:val="center"/>
              <w:rPr>
                <w:color w:val="auto"/>
              </w:rPr>
            </w:pPr>
            <w:r>
              <w:rPr>
                <w:color w:val="auto"/>
              </w:rPr>
              <w:t>生活污水</w:t>
            </w:r>
          </w:p>
        </w:tc>
        <w:tc>
          <w:tcPr>
            <w:tcW w:w="1265" w:type="dxa"/>
            <w:vAlign w:val="center"/>
          </w:tcPr>
          <w:p w14:paraId="40F75B3B">
            <w:pPr>
              <w:widowControl/>
              <w:jc w:val="center"/>
              <w:rPr>
                <w:color w:val="auto"/>
              </w:rPr>
            </w:pPr>
            <w:r>
              <w:rPr>
                <w:color w:val="auto"/>
              </w:rPr>
              <w:t>COD</w:t>
            </w:r>
          </w:p>
          <w:p w14:paraId="5F1D99E1">
            <w:pPr>
              <w:widowControl/>
              <w:jc w:val="center"/>
              <w:rPr>
                <w:color w:val="auto"/>
              </w:rPr>
            </w:pPr>
            <w:r>
              <w:rPr>
                <w:color w:val="auto"/>
              </w:rPr>
              <w:t>BOD</w:t>
            </w:r>
            <w:r>
              <w:rPr>
                <w:color w:val="auto"/>
                <w:vertAlign w:val="subscript"/>
              </w:rPr>
              <w:t>5</w:t>
            </w:r>
          </w:p>
          <w:p w14:paraId="19028C20">
            <w:pPr>
              <w:widowControl/>
              <w:jc w:val="center"/>
              <w:rPr>
                <w:color w:val="auto"/>
              </w:rPr>
            </w:pPr>
            <w:r>
              <w:rPr>
                <w:color w:val="auto"/>
              </w:rPr>
              <w:t>SS</w:t>
            </w:r>
          </w:p>
          <w:p w14:paraId="3D9A1885">
            <w:pPr>
              <w:adjustRightInd w:val="0"/>
              <w:snapToGrid w:val="0"/>
              <w:jc w:val="center"/>
              <w:rPr>
                <w:color w:val="auto"/>
              </w:rPr>
            </w:pPr>
            <w:r>
              <w:rPr>
                <w:color w:val="auto"/>
              </w:rPr>
              <w:t>氨氮</w:t>
            </w:r>
          </w:p>
        </w:tc>
        <w:tc>
          <w:tcPr>
            <w:tcW w:w="2603" w:type="dxa"/>
            <w:vAlign w:val="center"/>
          </w:tcPr>
          <w:p w14:paraId="2E09437F">
            <w:pPr>
              <w:widowControl/>
              <w:jc w:val="center"/>
              <w:rPr>
                <w:color w:val="auto"/>
              </w:rPr>
            </w:pPr>
            <w:r>
              <w:rPr>
                <w:color w:val="auto"/>
              </w:rPr>
              <w:t>排入厂区防渗旱厕</w:t>
            </w:r>
          </w:p>
        </w:tc>
        <w:tc>
          <w:tcPr>
            <w:tcW w:w="1850" w:type="dxa"/>
            <w:vAlign w:val="center"/>
          </w:tcPr>
          <w:p w14:paraId="4407041B">
            <w:pPr>
              <w:widowControl/>
              <w:jc w:val="center"/>
              <w:rPr>
                <w:color w:val="auto"/>
              </w:rPr>
            </w:pPr>
            <w:r>
              <w:rPr>
                <w:color w:val="auto"/>
              </w:rPr>
              <w:t>定期清掏作农肥</w:t>
            </w:r>
          </w:p>
        </w:tc>
      </w:tr>
      <w:tr w14:paraId="7A474C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778" w:type="dxa"/>
            <w:vMerge w:val="continue"/>
            <w:vAlign w:val="center"/>
          </w:tcPr>
          <w:p w14:paraId="770001F0">
            <w:pPr>
              <w:adjustRightInd w:val="0"/>
              <w:snapToGrid w:val="0"/>
              <w:jc w:val="center"/>
              <w:rPr>
                <w:rFonts w:ascii="宋体" w:hAnsi="宋体" w:cs="宋体"/>
                <w:color w:val="auto"/>
              </w:rPr>
            </w:pPr>
          </w:p>
        </w:tc>
        <w:tc>
          <w:tcPr>
            <w:tcW w:w="1755" w:type="dxa"/>
            <w:vAlign w:val="center"/>
          </w:tcPr>
          <w:p w14:paraId="49CF25C8">
            <w:pPr>
              <w:adjustRightInd w:val="0"/>
              <w:snapToGrid w:val="0"/>
              <w:jc w:val="center"/>
              <w:rPr>
                <w:color w:val="auto"/>
              </w:rPr>
            </w:pPr>
            <w:r>
              <w:rPr>
                <w:color w:val="auto"/>
              </w:rPr>
              <w:t>生产废水</w:t>
            </w:r>
          </w:p>
        </w:tc>
        <w:tc>
          <w:tcPr>
            <w:tcW w:w="1265" w:type="dxa"/>
            <w:vAlign w:val="center"/>
          </w:tcPr>
          <w:p w14:paraId="7F224921">
            <w:pPr>
              <w:adjustRightInd w:val="0"/>
              <w:snapToGrid w:val="0"/>
              <w:jc w:val="center"/>
              <w:rPr>
                <w:color w:val="auto"/>
              </w:rPr>
            </w:pPr>
            <w:r>
              <w:rPr>
                <w:color w:val="auto"/>
              </w:rPr>
              <w:t>SS</w:t>
            </w:r>
          </w:p>
        </w:tc>
        <w:tc>
          <w:tcPr>
            <w:tcW w:w="2603" w:type="dxa"/>
            <w:vAlign w:val="center"/>
          </w:tcPr>
          <w:p w14:paraId="3AC5CDB2">
            <w:pPr>
              <w:adjustRightInd w:val="0"/>
              <w:snapToGrid w:val="0"/>
              <w:jc w:val="center"/>
              <w:rPr>
                <w:color w:val="auto"/>
              </w:rPr>
            </w:pPr>
            <w:r>
              <w:rPr>
                <w:rFonts w:hint="eastAsia"/>
                <w:color w:val="auto"/>
              </w:rPr>
              <w:t>水罐内沉淀，上清液排入净水池；</w:t>
            </w:r>
          </w:p>
        </w:tc>
        <w:tc>
          <w:tcPr>
            <w:tcW w:w="1850" w:type="dxa"/>
            <w:vAlign w:val="center"/>
          </w:tcPr>
          <w:p w14:paraId="36B2C779">
            <w:pPr>
              <w:adjustRightInd w:val="0"/>
              <w:snapToGrid w:val="0"/>
              <w:jc w:val="center"/>
              <w:rPr>
                <w:color w:val="auto"/>
              </w:rPr>
            </w:pPr>
            <w:r>
              <w:rPr>
                <w:rFonts w:hint="eastAsia"/>
                <w:color w:val="auto"/>
              </w:rPr>
              <w:t>回用于生产</w:t>
            </w:r>
          </w:p>
        </w:tc>
      </w:tr>
      <w:tr w14:paraId="4A5D5B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778" w:type="dxa"/>
            <w:vAlign w:val="center"/>
          </w:tcPr>
          <w:p w14:paraId="3BB8A715">
            <w:pPr>
              <w:adjustRightInd w:val="0"/>
              <w:snapToGrid w:val="0"/>
              <w:jc w:val="center"/>
              <w:rPr>
                <w:rFonts w:ascii="宋体" w:hAnsi="宋体" w:cs="宋体"/>
                <w:color w:val="auto"/>
              </w:rPr>
            </w:pPr>
            <w:r>
              <w:rPr>
                <w:rFonts w:hint="eastAsia" w:ascii="宋体" w:hAnsi="宋体" w:cs="宋体"/>
                <w:color w:val="auto"/>
              </w:rPr>
              <w:t>声环境</w:t>
            </w:r>
          </w:p>
        </w:tc>
        <w:tc>
          <w:tcPr>
            <w:tcW w:w="1755" w:type="dxa"/>
            <w:vAlign w:val="center"/>
          </w:tcPr>
          <w:p w14:paraId="7E8C78A5">
            <w:pPr>
              <w:adjustRightInd w:val="0"/>
              <w:snapToGrid w:val="0"/>
              <w:jc w:val="center"/>
              <w:rPr>
                <w:color w:val="auto"/>
              </w:rPr>
            </w:pPr>
            <w:r>
              <w:rPr>
                <w:rFonts w:hint="eastAsia"/>
                <w:color w:val="auto"/>
              </w:rPr>
              <w:t>生产</w:t>
            </w:r>
            <w:r>
              <w:rPr>
                <w:color w:val="auto"/>
              </w:rPr>
              <w:t>设备</w:t>
            </w:r>
          </w:p>
        </w:tc>
        <w:tc>
          <w:tcPr>
            <w:tcW w:w="1265" w:type="dxa"/>
            <w:vAlign w:val="center"/>
          </w:tcPr>
          <w:p w14:paraId="02C534B4">
            <w:pPr>
              <w:adjustRightInd w:val="0"/>
              <w:snapToGrid w:val="0"/>
              <w:jc w:val="center"/>
              <w:rPr>
                <w:color w:val="auto"/>
              </w:rPr>
            </w:pPr>
            <w:r>
              <w:rPr>
                <w:color w:val="auto"/>
              </w:rPr>
              <w:t>噪声</w:t>
            </w:r>
          </w:p>
        </w:tc>
        <w:tc>
          <w:tcPr>
            <w:tcW w:w="2603" w:type="dxa"/>
            <w:vAlign w:val="center"/>
          </w:tcPr>
          <w:p w14:paraId="0AA5AE45">
            <w:pPr>
              <w:adjustRightInd w:val="0"/>
              <w:snapToGrid w:val="0"/>
              <w:jc w:val="center"/>
              <w:rPr>
                <w:color w:val="auto"/>
              </w:rPr>
            </w:pPr>
            <w:r>
              <w:rPr>
                <w:color w:val="auto"/>
              </w:rPr>
              <w:t>设备设置在建筑物内，减振隔声措施</w:t>
            </w:r>
            <w:r>
              <w:rPr>
                <w:rFonts w:hint="eastAsia"/>
                <w:color w:val="auto"/>
              </w:rPr>
              <w:t>；</w:t>
            </w:r>
          </w:p>
        </w:tc>
        <w:tc>
          <w:tcPr>
            <w:tcW w:w="1850" w:type="dxa"/>
            <w:vAlign w:val="center"/>
          </w:tcPr>
          <w:p w14:paraId="3907DA9C">
            <w:pPr>
              <w:adjustRightInd w:val="0"/>
              <w:snapToGrid w:val="0"/>
              <w:jc w:val="center"/>
              <w:rPr>
                <w:color w:val="auto"/>
              </w:rPr>
            </w:pPr>
            <w:r>
              <w:rPr>
                <w:color w:val="auto"/>
              </w:rPr>
              <w:t>GB12348-2008《工业企业厂界环境噪声排放标准》</w:t>
            </w:r>
          </w:p>
        </w:tc>
      </w:tr>
      <w:tr w14:paraId="748FC6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778" w:type="dxa"/>
            <w:vAlign w:val="center"/>
          </w:tcPr>
          <w:p w14:paraId="11811360">
            <w:pPr>
              <w:adjustRightInd w:val="0"/>
              <w:snapToGrid w:val="0"/>
              <w:jc w:val="center"/>
              <w:rPr>
                <w:rFonts w:ascii="宋体" w:hAnsi="宋体" w:cs="宋体"/>
                <w:color w:val="auto"/>
              </w:rPr>
            </w:pPr>
            <w:r>
              <w:rPr>
                <w:rFonts w:hint="eastAsia" w:ascii="宋体" w:hAnsi="宋体" w:cs="宋体"/>
                <w:color w:val="auto"/>
              </w:rPr>
              <w:t>电磁辐射</w:t>
            </w:r>
          </w:p>
        </w:tc>
        <w:tc>
          <w:tcPr>
            <w:tcW w:w="1755" w:type="dxa"/>
            <w:vAlign w:val="center"/>
          </w:tcPr>
          <w:p w14:paraId="2CA2E50D">
            <w:pPr>
              <w:adjustRightInd w:val="0"/>
              <w:snapToGrid w:val="0"/>
              <w:jc w:val="center"/>
              <w:rPr>
                <w:rFonts w:ascii="宋体" w:hAnsi="宋体" w:cs="宋体"/>
                <w:color w:val="auto"/>
              </w:rPr>
            </w:pPr>
            <w:r>
              <w:rPr>
                <w:rFonts w:hint="eastAsia" w:ascii="宋体" w:hAnsi="宋体" w:cs="宋体"/>
                <w:color w:val="auto"/>
              </w:rPr>
              <w:t>/</w:t>
            </w:r>
          </w:p>
        </w:tc>
        <w:tc>
          <w:tcPr>
            <w:tcW w:w="1265" w:type="dxa"/>
            <w:vAlign w:val="center"/>
          </w:tcPr>
          <w:p w14:paraId="3006AE6E">
            <w:pPr>
              <w:adjustRightInd w:val="0"/>
              <w:snapToGrid w:val="0"/>
              <w:jc w:val="center"/>
              <w:rPr>
                <w:rFonts w:ascii="宋体" w:hAnsi="宋体" w:cs="宋体"/>
                <w:color w:val="auto"/>
              </w:rPr>
            </w:pPr>
            <w:r>
              <w:rPr>
                <w:rFonts w:hint="eastAsia" w:ascii="宋体" w:hAnsi="宋体" w:cs="宋体"/>
                <w:color w:val="auto"/>
              </w:rPr>
              <w:t>/</w:t>
            </w:r>
          </w:p>
        </w:tc>
        <w:tc>
          <w:tcPr>
            <w:tcW w:w="2603" w:type="dxa"/>
            <w:vAlign w:val="center"/>
          </w:tcPr>
          <w:p w14:paraId="3A852723">
            <w:pPr>
              <w:adjustRightInd w:val="0"/>
              <w:snapToGrid w:val="0"/>
              <w:jc w:val="center"/>
              <w:rPr>
                <w:rFonts w:ascii="宋体" w:hAnsi="宋体" w:cs="宋体"/>
                <w:color w:val="auto"/>
              </w:rPr>
            </w:pPr>
            <w:r>
              <w:rPr>
                <w:rFonts w:hint="eastAsia" w:ascii="宋体" w:hAnsi="宋体" w:cs="宋体"/>
                <w:color w:val="auto"/>
              </w:rPr>
              <w:t>/</w:t>
            </w:r>
          </w:p>
        </w:tc>
        <w:tc>
          <w:tcPr>
            <w:tcW w:w="1850" w:type="dxa"/>
            <w:vAlign w:val="center"/>
          </w:tcPr>
          <w:p w14:paraId="49B1BE8E">
            <w:pPr>
              <w:adjustRightInd w:val="0"/>
              <w:snapToGrid w:val="0"/>
              <w:jc w:val="center"/>
              <w:rPr>
                <w:rFonts w:ascii="宋体" w:hAnsi="宋体" w:cs="宋体"/>
                <w:color w:val="auto"/>
              </w:rPr>
            </w:pPr>
            <w:r>
              <w:rPr>
                <w:rFonts w:hint="eastAsia" w:ascii="宋体" w:hAnsi="宋体" w:cs="宋体"/>
                <w:color w:val="auto"/>
              </w:rPr>
              <w:t>/</w:t>
            </w:r>
          </w:p>
        </w:tc>
      </w:tr>
      <w:tr w14:paraId="191647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778" w:type="dxa"/>
            <w:vAlign w:val="center"/>
          </w:tcPr>
          <w:p w14:paraId="3B8AAECD">
            <w:pPr>
              <w:adjustRightInd w:val="0"/>
              <w:snapToGrid w:val="0"/>
              <w:jc w:val="center"/>
              <w:rPr>
                <w:rFonts w:ascii="宋体" w:hAnsi="宋体" w:cs="宋体"/>
                <w:color w:val="auto"/>
              </w:rPr>
            </w:pPr>
            <w:r>
              <w:rPr>
                <w:rFonts w:hint="eastAsia" w:ascii="宋体" w:hAnsi="宋体" w:cs="宋体"/>
                <w:color w:val="auto"/>
              </w:rPr>
              <w:t>固体废物</w:t>
            </w:r>
          </w:p>
        </w:tc>
        <w:tc>
          <w:tcPr>
            <w:tcW w:w="7473" w:type="dxa"/>
            <w:gridSpan w:val="4"/>
            <w:vAlign w:val="center"/>
          </w:tcPr>
          <w:p w14:paraId="4CEDDDD5">
            <w:pPr>
              <w:pStyle w:val="8"/>
              <w:adjustRightInd w:val="0"/>
              <w:snapToGrid w:val="0"/>
              <w:jc w:val="both"/>
              <w:rPr>
                <w:color w:val="auto"/>
              </w:rPr>
            </w:pPr>
            <w:r>
              <w:rPr>
                <w:rFonts w:ascii="Times New Roman" w:hAnsi="Times New Roman" w:cs="Times New Roman"/>
                <w:color w:val="auto"/>
                <w:sz w:val="21"/>
                <w:szCs w:val="21"/>
                <w:lang w:val="zh-CN"/>
              </w:rPr>
              <w:t>生活垃圾收集后由环卫部门统一处理；</w:t>
            </w:r>
            <w:r>
              <w:rPr>
                <w:rFonts w:hint="eastAsia" w:ascii="Times New Roman" w:hAnsi="Times New Roman" w:cs="Times New Roman"/>
                <w:color w:val="auto"/>
                <w:sz w:val="21"/>
                <w:szCs w:val="21"/>
              </w:rPr>
              <w:t>除尘灰、</w:t>
            </w:r>
            <w:r>
              <w:rPr>
                <w:rFonts w:ascii="Times New Roman" w:hAnsi="Times New Roman" w:cs="Times New Roman"/>
                <w:color w:val="auto"/>
                <w:sz w:val="21"/>
                <w:szCs w:val="21"/>
              </w:rPr>
              <w:t>沉淀物（含水率小于60%）</w:t>
            </w:r>
            <w:r>
              <w:rPr>
                <w:rFonts w:hint="eastAsia" w:ascii="Times New Roman" w:hAnsi="Times New Roman" w:cs="Times New Roman"/>
                <w:color w:val="auto"/>
                <w:sz w:val="21"/>
                <w:szCs w:val="21"/>
              </w:rPr>
              <w:t>作为筑路材料</w:t>
            </w:r>
            <w:r>
              <w:rPr>
                <w:rFonts w:ascii="Times New Roman" w:hAnsi="Times New Roman" w:cs="Times New Roman"/>
                <w:color w:val="auto"/>
                <w:sz w:val="21"/>
                <w:szCs w:val="21"/>
                <w:lang w:val="zh-CN"/>
              </w:rPr>
              <w:t>。</w:t>
            </w:r>
          </w:p>
        </w:tc>
      </w:tr>
      <w:tr w14:paraId="00AB52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1778" w:type="dxa"/>
            <w:vAlign w:val="center"/>
          </w:tcPr>
          <w:p w14:paraId="6742F508">
            <w:pPr>
              <w:adjustRightInd w:val="0"/>
              <w:snapToGrid w:val="0"/>
              <w:jc w:val="center"/>
              <w:rPr>
                <w:rFonts w:ascii="宋体" w:hAnsi="宋体" w:cs="宋体"/>
                <w:color w:val="auto"/>
              </w:rPr>
            </w:pPr>
            <w:r>
              <w:rPr>
                <w:rFonts w:hint="eastAsia" w:ascii="宋体" w:hAnsi="宋体" w:cs="宋体"/>
                <w:color w:val="auto"/>
              </w:rPr>
              <w:t>土壤及地下水</w:t>
            </w:r>
          </w:p>
          <w:p w14:paraId="05AB5532">
            <w:pPr>
              <w:adjustRightInd w:val="0"/>
              <w:snapToGrid w:val="0"/>
              <w:jc w:val="center"/>
              <w:rPr>
                <w:rFonts w:ascii="宋体" w:hAnsi="宋体" w:cs="宋体"/>
                <w:color w:val="auto"/>
              </w:rPr>
            </w:pPr>
            <w:r>
              <w:rPr>
                <w:rFonts w:hint="eastAsia" w:ascii="宋体" w:hAnsi="宋体" w:cs="宋体"/>
                <w:color w:val="auto"/>
              </w:rPr>
              <w:t>污染防治措施</w:t>
            </w:r>
          </w:p>
        </w:tc>
        <w:tc>
          <w:tcPr>
            <w:tcW w:w="7473" w:type="dxa"/>
            <w:gridSpan w:val="4"/>
            <w:vAlign w:val="center"/>
          </w:tcPr>
          <w:p w14:paraId="22E30D4F">
            <w:pPr>
              <w:adjustRightInd w:val="0"/>
              <w:snapToGrid w:val="0"/>
              <w:spacing w:line="360" w:lineRule="auto"/>
              <w:rPr>
                <w:rFonts w:ascii="宋体" w:hAnsi="宋体" w:cs="宋体"/>
                <w:color w:val="auto"/>
              </w:rPr>
            </w:pPr>
            <w:r>
              <w:rPr>
                <w:rFonts w:hint="eastAsia" w:ascii="宋体" w:hAnsi="宋体" w:cs="宋体"/>
                <w:color w:val="auto"/>
              </w:rPr>
              <w:t>/</w:t>
            </w:r>
          </w:p>
        </w:tc>
      </w:tr>
      <w:tr w14:paraId="4845AC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778" w:type="dxa"/>
            <w:vAlign w:val="center"/>
          </w:tcPr>
          <w:p w14:paraId="35FB503A">
            <w:pPr>
              <w:adjustRightInd w:val="0"/>
              <w:snapToGrid w:val="0"/>
              <w:jc w:val="center"/>
              <w:rPr>
                <w:rFonts w:ascii="宋体" w:hAnsi="宋体" w:cs="宋体"/>
                <w:color w:val="auto"/>
              </w:rPr>
            </w:pPr>
            <w:r>
              <w:rPr>
                <w:rFonts w:hint="eastAsia" w:ascii="宋体" w:hAnsi="宋体" w:cs="宋体"/>
                <w:color w:val="auto"/>
              </w:rPr>
              <w:t>生态保护措施</w:t>
            </w:r>
          </w:p>
        </w:tc>
        <w:tc>
          <w:tcPr>
            <w:tcW w:w="7473" w:type="dxa"/>
            <w:gridSpan w:val="4"/>
            <w:vAlign w:val="center"/>
          </w:tcPr>
          <w:p w14:paraId="1D71324C">
            <w:pPr>
              <w:adjustRightInd w:val="0"/>
              <w:snapToGrid w:val="0"/>
              <w:jc w:val="left"/>
              <w:rPr>
                <w:rFonts w:ascii="宋体" w:hAnsi="宋体" w:cs="宋体"/>
                <w:color w:val="auto"/>
              </w:rPr>
            </w:pPr>
            <w:r>
              <w:rPr>
                <w:rFonts w:hint="eastAsia" w:ascii="宋体" w:hAnsi="宋体" w:cs="宋体"/>
                <w:color w:val="auto"/>
              </w:rPr>
              <w:t>/</w:t>
            </w:r>
          </w:p>
        </w:tc>
      </w:tr>
      <w:tr w14:paraId="5BEC3C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778" w:type="dxa"/>
            <w:vAlign w:val="center"/>
          </w:tcPr>
          <w:p w14:paraId="6D13BC09">
            <w:pPr>
              <w:adjustRightInd w:val="0"/>
              <w:snapToGrid w:val="0"/>
              <w:jc w:val="center"/>
              <w:rPr>
                <w:rFonts w:ascii="宋体" w:hAnsi="宋体" w:cs="宋体"/>
                <w:color w:val="auto"/>
                <w:spacing w:val="-8"/>
              </w:rPr>
            </w:pPr>
            <w:r>
              <w:rPr>
                <w:rFonts w:hint="eastAsia" w:ascii="宋体" w:hAnsi="宋体" w:cs="宋体"/>
                <w:color w:val="auto"/>
                <w:spacing w:val="-8"/>
              </w:rPr>
              <w:t>环境风险</w:t>
            </w:r>
          </w:p>
          <w:p w14:paraId="16ACF228">
            <w:pPr>
              <w:adjustRightInd w:val="0"/>
              <w:snapToGrid w:val="0"/>
              <w:jc w:val="center"/>
              <w:rPr>
                <w:rFonts w:ascii="宋体" w:hAnsi="宋体" w:cs="宋体"/>
                <w:color w:val="auto"/>
                <w:spacing w:val="-8"/>
              </w:rPr>
            </w:pPr>
            <w:r>
              <w:rPr>
                <w:rFonts w:hint="eastAsia" w:ascii="宋体" w:hAnsi="宋体" w:cs="宋体"/>
                <w:color w:val="auto"/>
                <w:spacing w:val="-8"/>
              </w:rPr>
              <w:t>防范措施</w:t>
            </w:r>
          </w:p>
        </w:tc>
        <w:tc>
          <w:tcPr>
            <w:tcW w:w="7473" w:type="dxa"/>
            <w:gridSpan w:val="4"/>
            <w:vAlign w:val="center"/>
          </w:tcPr>
          <w:p w14:paraId="3516DC6C">
            <w:pPr>
              <w:rPr>
                <w:rFonts w:ascii="宋体" w:hAnsi="宋体" w:cs="宋体"/>
                <w:color w:val="auto"/>
              </w:rPr>
            </w:pPr>
            <w:r>
              <w:rPr>
                <w:rFonts w:hint="eastAsia" w:ascii="宋体" w:hAnsi="宋体" w:cs="宋体"/>
                <w:color w:val="auto"/>
              </w:rPr>
              <w:t>/</w:t>
            </w:r>
          </w:p>
        </w:tc>
      </w:tr>
      <w:tr w14:paraId="47BC70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vAlign w:val="center"/>
          </w:tcPr>
          <w:p w14:paraId="553E4887">
            <w:pPr>
              <w:adjustRightInd w:val="0"/>
              <w:snapToGrid w:val="0"/>
              <w:jc w:val="center"/>
              <w:rPr>
                <w:rFonts w:ascii="宋体" w:hAnsi="宋体" w:cs="宋体"/>
                <w:color w:val="auto"/>
                <w:spacing w:val="-8"/>
              </w:rPr>
            </w:pPr>
            <w:r>
              <w:rPr>
                <w:rFonts w:hint="eastAsia" w:ascii="宋体" w:hAnsi="宋体" w:cs="宋体"/>
                <w:color w:val="auto"/>
                <w:spacing w:val="-8"/>
              </w:rPr>
              <w:t>其他环境</w:t>
            </w:r>
          </w:p>
          <w:p w14:paraId="68381388">
            <w:pPr>
              <w:adjustRightInd w:val="0"/>
              <w:snapToGrid w:val="0"/>
              <w:jc w:val="center"/>
              <w:rPr>
                <w:rFonts w:ascii="宋体" w:hAnsi="宋体" w:cs="宋体"/>
                <w:color w:val="auto"/>
                <w:spacing w:val="-8"/>
              </w:rPr>
            </w:pPr>
            <w:r>
              <w:rPr>
                <w:rFonts w:hint="eastAsia" w:ascii="宋体" w:hAnsi="宋体" w:cs="宋体"/>
                <w:color w:val="auto"/>
                <w:spacing w:val="-8"/>
              </w:rPr>
              <w:t>管理要求</w:t>
            </w:r>
          </w:p>
        </w:tc>
        <w:tc>
          <w:tcPr>
            <w:tcW w:w="7473" w:type="dxa"/>
            <w:gridSpan w:val="4"/>
            <w:vAlign w:val="center"/>
          </w:tcPr>
          <w:p w14:paraId="2B664F67">
            <w:pPr>
              <w:pStyle w:val="2"/>
              <w:adjustRightInd w:val="0"/>
              <w:spacing w:beforeLines="50" w:after="0" w:line="360" w:lineRule="auto"/>
              <w:rPr>
                <w:b w:val="0"/>
                <w:bCs w:val="0"/>
                <w:i/>
                <w:iCs/>
                <w:color w:val="auto"/>
                <w:sz w:val="21"/>
                <w:szCs w:val="21"/>
                <w:u w:val="single"/>
              </w:rPr>
            </w:pPr>
            <w:r>
              <w:rPr>
                <w:b w:val="0"/>
                <w:bCs w:val="0"/>
                <w:i/>
                <w:iCs/>
                <w:color w:val="auto"/>
                <w:sz w:val="21"/>
                <w:szCs w:val="21"/>
                <w:u w:val="single"/>
              </w:rPr>
              <w:t>1、排污口规范化管理</w:t>
            </w:r>
          </w:p>
          <w:p w14:paraId="6E5E4412">
            <w:pPr>
              <w:adjustRightInd w:val="0"/>
              <w:snapToGrid w:val="0"/>
              <w:spacing w:line="360" w:lineRule="auto"/>
              <w:ind w:firstLine="420" w:firstLineChars="200"/>
              <w:rPr>
                <w:i/>
                <w:iCs/>
                <w:color w:val="auto"/>
                <w:u w:val="single"/>
              </w:rPr>
            </w:pPr>
            <w:r>
              <w:rPr>
                <w:i/>
                <w:iCs/>
                <w:color w:val="auto"/>
                <w:u w:val="single"/>
              </w:rPr>
              <w:t>建设单位</w:t>
            </w:r>
            <w:r>
              <w:rPr>
                <w:rFonts w:hint="eastAsia"/>
                <w:i/>
                <w:iCs/>
                <w:color w:val="auto"/>
                <w:u w:val="single"/>
              </w:rPr>
              <w:t>应</w:t>
            </w:r>
            <w:r>
              <w:rPr>
                <w:i/>
                <w:iCs/>
                <w:color w:val="auto"/>
                <w:u w:val="single"/>
              </w:rPr>
              <w:t>按照《排污口规范化整治技术要求（试行）》中的相关要求对</w:t>
            </w:r>
            <w:r>
              <w:rPr>
                <w:rFonts w:hint="eastAsia"/>
                <w:i/>
                <w:iCs/>
                <w:color w:val="auto"/>
                <w:u w:val="single"/>
              </w:rPr>
              <w:t>拟设</w:t>
            </w:r>
            <w:r>
              <w:rPr>
                <w:i/>
                <w:iCs/>
                <w:color w:val="auto"/>
                <w:u w:val="single"/>
              </w:rPr>
              <w:t>排污口进行规范化建设和管理，设置</w:t>
            </w:r>
            <w:r>
              <w:rPr>
                <w:rFonts w:hint="eastAsia"/>
                <w:i/>
                <w:iCs/>
                <w:color w:val="auto"/>
                <w:u w:val="single"/>
              </w:rPr>
              <w:t>废气</w:t>
            </w:r>
            <w:r>
              <w:rPr>
                <w:i/>
                <w:iCs/>
                <w:color w:val="auto"/>
                <w:u w:val="single"/>
              </w:rPr>
              <w:t>监测取样口。</w:t>
            </w:r>
          </w:p>
          <w:p w14:paraId="73C5703D">
            <w:pPr>
              <w:adjustRightInd w:val="0"/>
              <w:snapToGrid w:val="0"/>
              <w:spacing w:line="360" w:lineRule="auto"/>
              <w:ind w:firstLine="480"/>
              <w:rPr>
                <w:i/>
                <w:iCs/>
                <w:color w:val="auto"/>
                <w:u w:val="single"/>
              </w:rPr>
            </w:pPr>
            <w:r>
              <w:rPr>
                <w:i/>
                <w:iCs/>
                <w:color w:val="auto"/>
                <w:u w:val="single"/>
              </w:rPr>
              <w:t>（1）排放口技术要求</w:t>
            </w:r>
          </w:p>
          <w:p w14:paraId="132908F7">
            <w:pPr>
              <w:adjustRightInd w:val="0"/>
              <w:snapToGrid w:val="0"/>
              <w:spacing w:line="360" w:lineRule="auto"/>
              <w:ind w:firstLine="420" w:firstLineChars="200"/>
              <w:rPr>
                <w:i/>
                <w:iCs/>
                <w:color w:val="auto"/>
                <w:u w:val="single"/>
              </w:rPr>
            </w:pPr>
            <w:r>
              <w:rPr>
                <w:i/>
                <w:iCs/>
                <w:color w:val="auto"/>
                <w:u w:val="single"/>
              </w:rPr>
              <w:t>排污口设置必须合理规定，按照《排污口规范化整治技术要求（试行）》（环监[1996]470号）文件要求，进行规范化管理。</w:t>
            </w:r>
          </w:p>
          <w:p w14:paraId="37CDACEB">
            <w:pPr>
              <w:adjustRightInd w:val="0"/>
              <w:snapToGrid w:val="0"/>
              <w:spacing w:line="360" w:lineRule="auto"/>
              <w:ind w:firstLine="420" w:firstLineChars="200"/>
              <w:rPr>
                <w:i/>
                <w:iCs/>
                <w:color w:val="auto"/>
                <w:u w:val="single"/>
              </w:rPr>
            </w:pPr>
            <w:r>
              <w:rPr>
                <w:i/>
                <w:iCs/>
                <w:color w:val="auto"/>
                <w:u w:val="single"/>
              </w:rPr>
              <w:t>排污单位应当按照要求对排污口进行立标、建档管理，按照监测标准规范的具体要求进行排污口的规范化设置。设置规范化的排污口，应包括监测平台、监测开孔、通往监测平台的通道等。</w:t>
            </w:r>
          </w:p>
          <w:p w14:paraId="2C568114">
            <w:pPr>
              <w:adjustRightInd w:val="0"/>
              <w:snapToGrid w:val="0"/>
              <w:spacing w:line="360" w:lineRule="auto"/>
              <w:ind w:firstLine="480"/>
              <w:rPr>
                <w:i/>
                <w:iCs/>
                <w:color w:val="auto"/>
                <w:u w:val="single"/>
              </w:rPr>
            </w:pPr>
            <w:r>
              <w:rPr>
                <w:i/>
                <w:iCs/>
                <w:color w:val="auto"/>
                <w:u w:val="single"/>
              </w:rPr>
              <w:t>（2）排污口立标管理</w:t>
            </w:r>
          </w:p>
          <w:p w14:paraId="15E3A32B">
            <w:pPr>
              <w:adjustRightInd w:val="0"/>
              <w:snapToGrid w:val="0"/>
              <w:spacing w:line="360" w:lineRule="auto"/>
              <w:jc w:val="left"/>
              <w:rPr>
                <w:rFonts w:hAnsi="宋体"/>
                <w:i/>
                <w:iCs/>
                <w:color w:val="auto"/>
                <w:sz w:val="18"/>
                <w:szCs w:val="18"/>
                <w:u w:val="single"/>
              </w:rPr>
            </w:pPr>
            <w:r>
              <w:rPr>
                <w:rFonts w:hint="eastAsia"/>
                <w:i/>
                <w:iCs/>
                <w:color w:val="auto"/>
                <w:u w:val="single"/>
              </w:rPr>
              <w:t>建设单位</w:t>
            </w:r>
            <w:r>
              <w:rPr>
                <w:i/>
                <w:iCs/>
                <w:color w:val="auto"/>
                <w:u w:val="single"/>
              </w:rPr>
              <w:t>应按照《环境保护图形标志－排放口（源）》（GB15562.1-1995）中有关规定，对排放口设置</w:t>
            </w:r>
            <w:r>
              <w:rPr>
                <w:rFonts w:hint="eastAsia"/>
                <w:i/>
                <w:iCs/>
                <w:color w:val="auto"/>
                <w:u w:val="single"/>
              </w:rPr>
              <w:t>标识</w:t>
            </w:r>
            <w:r>
              <w:rPr>
                <w:i/>
                <w:iCs/>
                <w:color w:val="auto"/>
                <w:u w:val="single"/>
              </w:rPr>
              <w:t>。</w:t>
            </w:r>
          </w:p>
          <w:p w14:paraId="46FB08F2">
            <w:pPr>
              <w:adjustRightInd w:val="0"/>
              <w:snapToGrid w:val="0"/>
              <w:spacing w:line="360" w:lineRule="auto"/>
              <w:ind w:firstLine="482"/>
              <w:rPr>
                <w:i/>
                <w:iCs/>
                <w:color w:val="auto"/>
                <w:u w:val="single"/>
              </w:rPr>
            </w:pPr>
            <w:r>
              <w:rPr>
                <w:i/>
                <w:iCs/>
                <w:color w:val="auto"/>
                <w:u w:val="single"/>
              </w:rPr>
              <w:t>（3）排污口建档管理</w:t>
            </w:r>
          </w:p>
          <w:p w14:paraId="7C1452D5">
            <w:pPr>
              <w:adjustRightInd w:val="0"/>
              <w:snapToGrid w:val="0"/>
              <w:spacing w:line="360" w:lineRule="auto"/>
              <w:ind w:firstLine="482"/>
              <w:rPr>
                <w:i/>
                <w:iCs/>
                <w:color w:val="auto"/>
                <w:u w:val="single"/>
              </w:rPr>
            </w:pPr>
            <w:r>
              <w:rPr>
                <w:i/>
                <w:iCs/>
                <w:color w:val="auto"/>
                <w:u w:val="single"/>
              </w:rPr>
              <w:t>要求使用</w:t>
            </w:r>
            <w:r>
              <w:rPr>
                <w:rFonts w:hint="eastAsia"/>
                <w:i/>
                <w:iCs/>
                <w:color w:val="auto"/>
                <w:u w:val="single"/>
              </w:rPr>
              <w:t>国家环保总局</w:t>
            </w:r>
            <w:r>
              <w:rPr>
                <w:i/>
                <w:iCs/>
                <w:color w:val="auto"/>
                <w:u w:val="single"/>
              </w:rPr>
              <w:t>统一印制的《中华人民共和国规范化排污口标志牌登记证》，并按要求填写有关内容。</w:t>
            </w:r>
          </w:p>
          <w:p w14:paraId="5D26FB7D">
            <w:pPr>
              <w:adjustRightInd w:val="0"/>
              <w:snapToGrid w:val="0"/>
              <w:spacing w:line="360" w:lineRule="auto"/>
              <w:ind w:firstLine="482"/>
              <w:rPr>
                <w:color w:val="auto"/>
              </w:rPr>
            </w:pPr>
            <w:r>
              <w:rPr>
                <w:i/>
                <w:iCs/>
                <w:color w:val="auto"/>
                <w:u w:val="single"/>
              </w:rPr>
              <w:t>根据排污口管理档案内容要求，项目建成投产后，应将主要污染物种类、数量、浓度、排放去向、达标情况及设施运行情况记录于档案。</w:t>
            </w:r>
          </w:p>
          <w:p w14:paraId="29784CE3">
            <w:pPr>
              <w:pStyle w:val="2"/>
              <w:adjustRightInd w:val="0"/>
              <w:snapToGrid w:val="0"/>
              <w:spacing w:before="0" w:after="0" w:line="360" w:lineRule="auto"/>
              <w:rPr>
                <w:b w:val="0"/>
                <w:bCs w:val="0"/>
                <w:color w:val="auto"/>
                <w:sz w:val="21"/>
                <w:szCs w:val="21"/>
              </w:rPr>
            </w:pPr>
            <w:r>
              <w:rPr>
                <w:b w:val="0"/>
                <w:bCs w:val="0"/>
                <w:color w:val="auto"/>
                <w:sz w:val="21"/>
                <w:szCs w:val="21"/>
              </w:rPr>
              <w:t>2、排污许可相关要求</w:t>
            </w:r>
          </w:p>
          <w:p w14:paraId="19096C84">
            <w:pPr>
              <w:autoSpaceDE w:val="0"/>
              <w:autoSpaceDN w:val="0"/>
              <w:adjustRightInd w:val="0"/>
              <w:snapToGrid w:val="0"/>
              <w:spacing w:line="360" w:lineRule="auto"/>
              <w:ind w:firstLine="630" w:firstLineChars="300"/>
              <w:jc w:val="left"/>
              <w:rPr>
                <w:color w:val="auto"/>
              </w:rPr>
            </w:pPr>
            <w:r>
              <w:rPr>
                <w:color w:val="auto"/>
              </w:rPr>
              <w:t>根据《关于强化建设项目环评事中事后监管的实施意见》（环评【2018】11 号）、《排污许可</w:t>
            </w:r>
            <w:bookmarkStart w:id="6" w:name="_GoBack"/>
            <w:bookmarkEnd w:id="6"/>
            <w:r>
              <w:rPr>
                <w:color w:val="auto"/>
              </w:rPr>
              <w:t>管理条例》（中华人民共和国国务院令第736 号）和《固定污染源排污许可分类管理名录（2019年版）》等要求。</w:t>
            </w:r>
          </w:p>
          <w:p w14:paraId="043D7B0A">
            <w:pPr>
              <w:pStyle w:val="80"/>
              <w:ind w:firstLine="420"/>
              <w:rPr>
                <w:color w:val="auto"/>
              </w:rPr>
            </w:pPr>
            <w:r>
              <w:rPr>
                <w:color w:val="auto"/>
              </w:rPr>
              <w:t>纳入固定污染源排污许可分类管理名录的企业事业单位和其他生产经营者应当按照规定的时限申请并取得排污许可证；未纳入固定污染源排污许可分类管理名录的排污单位，暂不需申请排污许可证。排污单位应当依法持有排污许可证，并按照排污许可证的规定排放污染物。排污单位应当按照排污许可证规定的关于执行报告内容和频次的要求，编制排污许可证执行报告；排污单位应当每年在全国排污许可证管理信息平台上填报、提交排污许可证年度执行报告并公开，同时向核发环保部门提交通过全国排污许可证管理信息平台印制的书面执行报告。书面执行报告应当由法定代表人或者主要负责人签字或者盖章。排污单位应当对提交的台账记录、监测数据和执行报告的真实性、完整性负责，依法接受环境保护主管部门的监督检查。排污单位应当及时公开有关排污信息，自觉接受公众监督。</w:t>
            </w:r>
          </w:p>
          <w:p w14:paraId="541BD4F7">
            <w:pPr>
              <w:pStyle w:val="2"/>
              <w:adjustRightInd w:val="0"/>
              <w:snapToGrid w:val="0"/>
              <w:spacing w:before="0" w:after="0" w:line="360" w:lineRule="auto"/>
              <w:rPr>
                <w:b w:val="0"/>
                <w:bCs w:val="0"/>
                <w:color w:val="auto"/>
                <w:sz w:val="21"/>
                <w:szCs w:val="21"/>
              </w:rPr>
            </w:pPr>
            <w:r>
              <w:rPr>
                <w:b w:val="0"/>
                <w:bCs w:val="0"/>
                <w:color w:val="auto"/>
                <w:sz w:val="21"/>
                <w:szCs w:val="21"/>
              </w:rPr>
              <w:t>3、</w:t>
            </w:r>
            <w:r>
              <w:rPr>
                <w:rFonts w:ascii="宋体" w:hAnsi="宋体"/>
                <w:b w:val="0"/>
                <w:bCs w:val="0"/>
                <w:color w:val="auto"/>
                <w:sz w:val="21"/>
                <w:szCs w:val="21"/>
              </w:rPr>
              <w:t>“三同时”</w:t>
            </w:r>
            <w:r>
              <w:rPr>
                <w:b w:val="0"/>
                <w:bCs w:val="0"/>
                <w:color w:val="auto"/>
                <w:sz w:val="21"/>
                <w:szCs w:val="21"/>
              </w:rPr>
              <w:t>自主验收</w:t>
            </w:r>
          </w:p>
          <w:p w14:paraId="3EC02021">
            <w:pPr>
              <w:pStyle w:val="80"/>
              <w:ind w:firstLine="420"/>
              <w:rPr>
                <w:color w:val="auto"/>
              </w:rPr>
            </w:pPr>
            <w:r>
              <w:rPr>
                <w:color w:val="auto"/>
              </w:rPr>
              <w:t>根据《关于规范建设单位自主开展建设项目竣工环境保护验收的通知》（环办环评函【2017】1235号）和《建设项目环境保护管理条例》（2017年10月1日起实施），建设单位应自主验收，根据报告提出的措施内容尽快完善厂区内各项环保设施的建设，就环保治理设施落实情况如实编制竣工环境保护验收报告，并组织成立验收工作组。验收工作组由建设单位、设计单位、施工单位、环境影响报告书（表）编制机构、验收报告编制机构等单位代表和专业技术专家组成。</w:t>
            </w:r>
          </w:p>
          <w:p w14:paraId="38F4C396">
            <w:pPr>
              <w:pStyle w:val="80"/>
              <w:ind w:firstLine="420"/>
              <w:rPr>
                <w:color w:val="auto"/>
              </w:rPr>
            </w:pPr>
            <w:r>
              <w:rPr>
                <w:color w:val="auto"/>
              </w:rPr>
              <w:t>验收工作组应当严格依照国家有关法律法规、建设项目竣工环境保护验收技术规范、建设项目环境影响报告表和审批决定等要求对建设项目配套建设的环境保护设施进行验收，形成验收意见。验收意见应当包括工程建设基本情况，工程变更情况，环境保护设施落实情况，环境保护设施调试效果和工程建设对环境的影响，验收存在的主要问题，验收结论和后续要求。验收工作组现场检查可以参照《关于印发建设项目竣工环境保护验收现场检查及审查要点的通知》（环办〔2015〕113号）执行。</w:t>
            </w:r>
          </w:p>
          <w:p w14:paraId="72EE55E4">
            <w:pPr>
              <w:pStyle w:val="80"/>
              <w:ind w:firstLine="420"/>
              <w:rPr>
                <w:color w:val="auto"/>
              </w:rPr>
            </w:pPr>
            <w:r>
              <w:rPr>
                <w:color w:val="auto"/>
              </w:rPr>
              <w:t>建设单位应当对验收工作组提出的问题进行整改，合格后方可出具验收合格的意见。建设项目配套建设的环境保护设施经验收合格后，其主体工程才可以投入生产或者使用。</w:t>
            </w:r>
          </w:p>
          <w:p w14:paraId="2164BF19">
            <w:pPr>
              <w:pStyle w:val="2"/>
              <w:adjustRightInd w:val="0"/>
              <w:snapToGrid w:val="0"/>
              <w:spacing w:before="0" w:after="0" w:line="360" w:lineRule="auto"/>
              <w:rPr>
                <w:b w:val="0"/>
                <w:bCs w:val="0"/>
                <w:color w:val="auto"/>
                <w:sz w:val="21"/>
                <w:szCs w:val="21"/>
              </w:rPr>
            </w:pPr>
            <w:r>
              <w:rPr>
                <w:b w:val="0"/>
                <w:bCs w:val="0"/>
                <w:color w:val="auto"/>
                <w:sz w:val="21"/>
                <w:szCs w:val="21"/>
              </w:rPr>
              <w:t>4、环境管理</w:t>
            </w:r>
          </w:p>
          <w:p w14:paraId="320F6862">
            <w:pPr>
              <w:autoSpaceDE w:val="0"/>
              <w:autoSpaceDN w:val="0"/>
              <w:adjustRightInd w:val="0"/>
              <w:snapToGrid w:val="0"/>
              <w:spacing w:line="360" w:lineRule="auto"/>
              <w:ind w:firstLine="420" w:firstLineChars="200"/>
              <w:jc w:val="left"/>
              <w:rPr>
                <w:color w:val="auto"/>
              </w:rPr>
            </w:pPr>
            <w:r>
              <w:rPr>
                <w:color w:val="auto"/>
              </w:rPr>
              <w:t>为贯彻执行国家环境保护的有关规定，确保企业实施可持续发展的长远战略，协调好项目投产后的生产管理和环境管理，本环评报告对环境管理与环境监测制度提出建议。为</w:t>
            </w:r>
            <w:r>
              <w:rPr>
                <w:rFonts w:hint="eastAsia"/>
                <w:color w:val="auto"/>
              </w:rPr>
              <w:t>切实做好在建</w:t>
            </w:r>
            <w:r>
              <w:rPr>
                <w:color w:val="auto"/>
              </w:rPr>
              <w:t>项目投产后的环境管理、环境监测等工作，建议成立安全环保部门，并设专兼职环境管理人员，配置专兼职环境管</w:t>
            </w:r>
            <w:r>
              <w:rPr>
                <w:rFonts w:hint="eastAsia"/>
                <w:color w:val="auto"/>
              </w:rPr>
              <w:t>理人</w:t>
            </w:r>
            <w:r>
              <w:rPr>
                <w:color w:val="auto"/>
              </w:rPr>
              <w:t>员。</w:t>
            </w:r>
          </w:p>
          <w:p w14:paraId="6C2820BB">
            <w:pPr>
              <w:autoSpaceDE w:val="0"/>
              <w:autoSpaceDN w:val="0"/>
              <w:adjustRightInd w:val="0"/>
              <w:snapToGrid w:val="0"/>
              <w:spacing w:line="360" w:lineRule="auto"/>
              <w:ind w:firstLine="420" w:firstLineChars="200"/>
              <w:jc w:val="left"/>
              <w:rPr>
                <w:color w:val="auto"/>
              </w:rPr>
            </w:pPr>
            <w:r>
              <w:rPr>
                <w:color w:val="auto"/>
              </w:rPr>
              <w:t>（1）环境管理机构主要职责</w:t>
            </w:r>
          </w:p>
          <w:p w14:paraId="4AB36D49">
            <w:pPr>
              <w:autoSpaceDE w:val="0"/>
              <w:autoSpaceDN w:val="0"/>
              <w:adjustRightInd w:val="0"/>
              <w:snapToGrid w:val="0"/>
              <w:spacing w:line="360" w:lineRule="auto"/>
              <w:ind w:firstLine="420" w:firstLineChars="200"/>
              <w:jc w:val="left"/>
              <w:rPr>
                <w:color w:val="auto"/>
              </w:rPr>
            </w:pPr>
            <w:r>
              <w:rPr>
                <w:color w:val="auto"/>
              </w:rPr>
              <w:t>贯彻执行国家和地方颁布的环境保护法规、政策和环境保护标准，协助厂领导确定厂环境保护方针、目标。</w:t>
            </w:r>
          </w:p>
          <w:p w14:paraId="06981FE9">
            <w:pPr>
              <w:autoSpaceDE w:val="0"/>
              <w:autoSpaceDN w:val="0"/>
              <w:adjustRightInd w:val="0"/>
              <w:snapToGrid w:val="0"/>
              <w:spacing w:line="360" w:lineRule="auto"/>
              <w:ind w:firstLine="420" w:firstLineChars="200"/>
              <w:jc w:val="left"/>
              <w:rPr>
                <w:color w:val="auto"/>
              </w:rPr>
            </w:pPr>
            <w:r>
              <w:rPr>
                <w:color w:val="auto"/>
              </w:rPr>
              <w:t>制订厂环境保护管理规章、制度和实施办法，并经常监督检查各单位执行情况；组织制定厂环境保护规划和年度计划，并组织或监督实施。</w:t>
            </w:r>
          </w:p>
          <w:p w14:paraId="5AB872DE">
            <w:pPr>
              <w:autoSpaceDE w:val="0"/>
              <w:autoSpaceDN w:val="0"/>
              <w:adjustRightInd w:val="0"/>
              <w:snapToGrid w:val="0"/>
              <w:spacing w:line="360" w:lineRule="auto"/>
              <w:ind w:firstLine="420" w:firstLineChars="200"/>
              <w:jc w:val="left"/>
              <w:rPr>
                <w:color w:val="auto"/>
              </w:rPr>
            </w:pPr>
            <w:r>
              <w:rPr>
                <w:color w:val="auto"/>
              </w:rPr>
              <w:t>负责厂环境监测管理工作，制定环境监测计划，并组织实施；掌握</w:t>
            </w:r>
            <w:r>
              <w:rPr>
                <w:rFonts w:hint="eastAsia" w:ascii="宋体" w:hAnsi="宋体" w:cs="宋体"/>
                <w:color w:val="auto"/>
              </w:rPr>
              <w:t>厂“三废”排放</w:t>
            </w:r>
            <w:r>
              <w:rPr>
                <w:color w:val="auto"/>
              </w:rPr>
              <w:t>状况，建立污染源排污监测档案</w:t>
            </w:r>
            <w:r>
              <w:rPr>
                <w:rFonts w:hint="eastAsia"/>
                <w:color w:val="auto"/>
              </w:rPr>
              <w:t>和台账</w:t>
            </w:r>
            <w:r>
              <w:rPr>
                <w:color w:val="auto"/>
              </w:rPr>
              <w:t>，按规定向地方环保部门汇报排污情况以及企业年度排污申报登记，并为解决重大环境问题和综合治理决策提供依据。</w:t>
            </w:r>
          </w:p>
          <w:p w14:paraId="41EC2BC1">
            <w:pPr>
              <w:autoSpaceDE w:val="0"/>
              <w:autoSpaceDN w:val="0"/>
              <w:adjustRightInd w:val="0"/>
              <w:snapToGrid w:val="0"/>
              <w:spacing w:line="360" w:lineRule="auto"/>
              <w:ind w:firstLine="420" w:firstLineChars="200"/>
              <w:jc w:val="left"/>
              <w:rPr>
                <w:color w:val="auto"/>
              </w:rPr>
            </w:pPr>
            <w:r>
              <w:rPr>
                <w:color w:val="auto"/>
              </w:rPr>
              <w:t>监督检查环境保护设施的运行情况，并建立运行档案。</w:t>
            </w:r>
          </w:p>
          <w:p w14:paraId="23DFEFFC">
            <w:pPr>
              <w:autoSpaceDE w:val="0"/>
              <w:autoSpaceDN w:val="0"/>
              <w:adjustRightInd w:val="0"/>
              <w:snapToGrid w:val="0"/>
              <w:spacing w:line="360" w:lineRule="auto"/>
              <w:ind w:firstLine="420" w:firstLineChars="200"/>
              <w:jc w:val="left"/>
              <w:rPr>
                <w:color w:val="auto"/>
              </w:rPr>
            </w:pPr>
            <w:r>
              <w:rPr>
                <w:color w:val="auto"/>
              </w:rPr>
              <w:t>制定切实可行的各类污染物排放控制指标、环境保护设施运行效果和污染防治措施落实效果考核指标、</w:t>
            </w:r>
            <w:r>
              <w:rPr>
                <w:rFonts w:hint="eastAsia" w:ascii="宋体" w:hAnsi="宋体" w:cs="宋体"/>
                <w:color w:val="auto"/>
              </w:rPr>
              <w:t>“三废”综合</w:t>
            </w:r>
            <w:r>
              <w:rPr>
                <w:color w:val="auto"/>
              </w:rPr>
              <w:t>利用指标等环保责任指标，层层落实并定期组织考核。</w:t>
            </w:r>
          </w:p>
          <w:p w14:paraId="2CB4B500">
            <w:pPr>
              <w:autoSpaceDE w:val="0"/>
              <w:autoSpaceDN w:val="0"/>
              <w:adjustRightInd w:val="0"/>
              <w:snapToGrid w:val="0"/>
              <w:spacing w:line="360" w:lineRule="auto"/>
              <w:ind w:firstLine="420" w:firstLineChars="200"/>
              <w:jc w:val="left"/>
              <w:rPr>
                <w:color w:val="auto"/>
              </w:rPr>
            </w:pPr>
            <w:r>
              <w:rPr>
                <w:color w:val="auto"/>
              </w:rPr>
              <w:t>制定预防突发性污染事件防范措施和应急处理方案。一旦发生事故，协助有关部门及时组织环境监测、事故原因调查分析和处理工作，并应认真总结经验教训，及时上报有关结果。</w:t>
            </w:r>
          </w:p>
          <w:p w14:paraId="54A4B0A2">
            <w:pPr>
              <w:autoSpaceDE w:val="0"/>
              <w:autoSpaceDN w:val="0"/>
              <w:adjustRightInd w:val="0"/>
              <w:snapToGrid w:val="0"/>
              <w:spacing w:line="360" w:lineRule="auto"/>
              <w:ind w:firstLine="420" w:firstLineChars="200"/>
              <w:jc w:val="left"/>
              <w:rPr>
                <w:color w:val="auto"/>
              </w:rPr>
            </w:pPr>
            <w:r>
              <w:rPr>
                <w:color w:val="auto"/>
              </w:rPr>
              <w:t>组织开展厂污染治理工作</w:t>
            </w:r>
            <w:r>
              <w:rPr>
                <w:rFonts w:hint="eastAsia" w:asciiTheme="minorEastAsia" w:hAnsiTheme="minorEastAsia" w:eastAsiaTheme="minorEastAsia" w:cstheme="minorEastAsia"/>
                <w:color w:val="auto"/>
              </w:rPr>
              <w:t>和“三废”综合利</w:t>
            </w:r>
            <w:r>
              <w:rPr>
                <w:color w:val="auto"/>
              </w:rPr>
              <w:t>用的环保科研、技术攻关工作，积极推广污染防治先进技术和经验；组织开展有关环境保护的宣传教育、培训工作。</w:t>
            </w:r>
          </w:p>
          <w:p w14:paraId="0F3C59C2">
            <w:pPr>
              <w:autoSpaceDE w:val="0"/>
              <w:autoSpaceDN w:val="0"/>
              <w:adjustRightInd w:val="0"/>
              <w:snapToGrid w:val="0"/>
              <w:spacing w:line="360" w:lineRule="auto"/>
              <w:ind w:firstLine="420" w:firstLineChars="200"/>
              <w:jc w:val="left"/>
              <w:rPr>
                <w:color w:val="auto"/>
              </w:rPr>
            </w:pPr>
            <w:r>
              <w:rPr>
                <w:color w:val="auto"/>
              </w:rPr>
              <w:t>（2）环境监测工作职责及主要任务</w:t>
            </w:r>
          </w:p>
          <w:p w14:paraId="461D9BE4">
            <w:pPr>
              <w:autoSpaceDE w:val="0"/>
              <w:autoSpaceDN w:val="0"/>
              <w:adjustRightInd w:val="0"/>
              <w:snapToGrid w:val="0"/>
              <w:spacing w:line="360" w:lineRule="auto"/>
              <w:ind w:firstLine="420" w:firstLineChars="200"/>
              <w:jc w:val="left"/>
              <w:rPr>
                <w:color w:val="auto"/>
              </w:rPr>
            </w:pPr>
            <w:r>
              <w:rPr>
                <w:color w:val="auto"/>
              </w:rPr>
              <w:t>环境监测是环境保护的基础和耳目，是掌握环境质量和了解其变化动态的重要手段。为保护厂区和厂区周边环境，促进企业环境管理的科学化及企业可持续发展，建设单位应重视和加强环境监测工作。参照有关规定，本次环评对企业环境监测的工作职责及主要任务建议如下：</w:t>
            </w:r>
          </w:p>
          <w:p w14:paraId="7BE96059">
            <w:pPr>
              <w:autoSpaceDE w:val="0"/>
              <w:autoSpaceDN w:val="0"/>
              <w:adjustRightInd w:val="0"/>
              <w:snapToGrid w:val="0"/>
              <w:spacing w:line="360" w:lineRule="auto"/>
              <w:ind w:firstLine="420" w:firstLineChars="200"/>
              <w:jc w:val="left"/>
              <w:rPr>
                <w:color w:val="auto"/>
              </w:rPr>
            </w:pPr>
            <w:r>
              <w:rPr>
                <w:color w:val="auto"/>
              </w:rPr>
              <w:t>严格按照国家有关环境质量标准、污染物排放标准、环境监测技术规范和环境监测分析方法规定等要求，建立环境监测管理制度和环境监测质量保证体系，确保监测数据真实可靠。保证及时、准确和规范地提供监测数据，为企业环境管理服务，为解决企业重大环境问题提供依据。</w:t>
            </w:r>
          </w:p>
          <w:p w14:paraId="2CBED979">
            <w:pPr>
              <w:autoSpaceDE w:val="0"/>
              <w:autoSpaceDN w:val="0"/>
              <w:adjustRightInd w:val="0"/>
              <w:snapToGrid w:val="0"/>
              <w:spacing w:line="360" w:lineRule="auto"/>
              <w:ind w:firstLine="420" w:firstLineChars="200"/>
              <w:jc w:val="left"/>
              <w:rPr>
                <w:color w:val="auto"/>
              </w:rPr>
            </w:pPr>
            <w:r>
              <w:rPr>
                <w:color w:val="auto"/>
              </w:rPr>
              <w:t>及时汇总环境监测数据，定期对环境监测数据进行综合分析，掌握污染物排放状况及变化趋势，及时将结果反馈给生产管理部门、环境管理部门。定期编制和向企业环境主管部门上报监测日报、月报、季报和年报。</w:t>
            </w:r>
          </w:p>
          <w:p w14:paraId="02E46D7A">
            <w:pPr>
              <w:pStyle w:val="80"/>
              <w:ind w:firstLine="420"/>
              <w:rPr>
                <w:color w:val="auto"/>
              </w:rPr>
            </w:pPr>
            <w:r>
              <w:rPr>
                <w:color w:val="auto"/>
              </w:rPr>
              <w:t>建立应急环境监测方案，健全应急环境监测手段，及时对企业突发性污染事件进行监测，并将应急环境监测结果和污染事件善后处理情况及时上报企业环境保护主管部门。</w:t>
            </w:r>
          </w:p>
          <w:p w14:paraId="1207F359">
            <w:pPr>
              <w:pStyle w:val="80"/>
              <w:ind w:firstLine="420"/>
              <w:rPr>
                <w:color w:val="auto"/>
              </w:rPr>
            </w:pPr>
            <w:r>
              <w:rPr>
                <w:rFonts w:hint="eastAsia"/>
                <w:color w:val="auto"/>
              </w:rPr>
              <w:t>（3）人员</w:t>
            </w:r>
          </w:p>
          <w:p w14:paraId="78DD39D4">
            <w:pPr>
              <w:pStyle w:val="80"/>
              <w:ind w:firstLine="420"/>
              <w:rPr>
                <w:color w:val="auto"/>
              </w:rPr>
            </w:pPr>
            <w:r>
              <w:rPr>
                <w:rFonts w:hint="eastAsia"/>
                <w:color w:val="auto"/>
              </w:rPr>
              <w:t>企业应对操作人员、技术人员及管理人员进行环境保护相关的法律法规、环境应急处理等理论知识和操作技能培训。培训应包含以下内容：</w:t>
            </w:r>
          </w:p>
          <w:p w14:paraId="2A119795">
            <w:pPr>
              <w:pStyle w:val="80"/>
              <w:ind w:firstLine="420"/>
              <w:rPr>
                <w:color w:val="auto"/>
              </w:rPr>
            </w:pPr>
            <w:r>
              <w:rPr>
                <w:rFonts w:hint="eastAsia"/>
                <w:color w:val="auto"/>
              </w:rPr>
              <w:t>有关环境保护法律法规要求；</w:t>
            </w:r>
          </w:p>
          <w:p w14:paraId="4772E2E5">
            <w:pPr>
              <w:pStyle w:val="80"/>
              <w:ind w:firstLine="420"/>
              <w:rPr>
                <w:color w:val="auto"/>
              </w:rPr>
            </w:pPr>
            <w:r>
              <w:rPr>
                <w:rFonts w:hint="eastAsia"/>
                <w:color w:val="auto"/>
              </w:rPr>
              <w:t>企业生产的工艺流程、污染物的产生环节和污染防治措施；</w:t>
            </w:r>
          </w:p>
          <w:p w14:paraId="5CBE066E">
            <w:pPr>
              <w:pStyle w:val="80"/>
              <w:ind w:firstLine="420"/>
              <w:rPr>
                <w:color w:val="auto"/>
              </w:rPr>
            </w:pPr>
            <w:r>
              <w:rPr>
                <w:rFonts w:hint="eastAsia"/>
                <w:color w:val="auto"/>
              </w:rPr>
              <w:t>环境污染物的排放限值；</w:t>
            </w:r>
          </w:p>
          <w:p w14:paraId="7681CBE2">
            <w:pPr>
              <w:pStyle w:val="80"/>
              <w:ind w:firstLine="420"/>
              <w:rPr>
                <w:color w:val="auto"/>
              </w:rPr>
            </w:pPr>
            <w:r>
              <w:rPr>
                <w:rFonts w:hint="eastAsia"/>
                <w:color w:val="auto"/>
              </w:rPr>
              <w:t>污染防治设备设施的运行维护要求；</w:t>
            </w:r>
          </w:p>
          <w:p w14:paraId="65EEDA5A">
            <w:pPr>
              <w:pStyle w:val="80"/>
              <w:ind w:firstLine="420"/>
              <w:rPr>
                <w:color w:val="auto"/>
              </w:rPr>
            </w:pPr>
            <w:r>
              <w:rPr>
                <w:rFonts w:hint="eastAsia"/>
                <w:color w:val="auto"/>
              </w:rPr>
              <w:t>发生突发环境事件的处理措施等。</w:t>
            </w:r>
          </w:p>
          <w:p w14:paraId="3025FFD5">
            <w:pPr>
              <w:pStyle w:val="80"/>
              <w:ind w:firstLine="420"/>
              <w:rPr>
                <w:color w:val="auto"/>
              </w:rPr>
            </w:pPr>
            <w:r>
              <w:rPr>
                <w:rFonts w:hint="eastAsia"/>
                <w:color w:val="auto"/>
              </w:rPr>
              <w:t>（4）突发环境事件应急预案</w:t>
            </w:r>
          </w:p>
          <w:p w14:paraId="7046ACD2">
            <w:pPr>
              <w:adjustRightInd w:val="0"/>
              <w:snapToGrid w:val="0"/>
              <w:spacing w:line="360" w:lineRule="auto"/>
              <w:ind w:firstLine="420" w:firstLineChars="200"/>
              <w:rPr>
                <w:color w:val="auto"/>
              </w:rPr>
            </w:pPr>
            <w:r>
              <w:rPr>
                <w:rFonts w:hint="eastAsia"/>
                <w:color w:val="auto"/>
              </w:rPr>
              <w:t>企业应健全企业突发环境事件应对工作机制，包括编制突发环境事件应急预案、制定突发环境事件应急预案培训演练制度、定期开展培训演练等。发生突发环境事件时，企业立即启动相应突发环境事件应急预案，并按突发环境事件应急预案要求向生态环境等部门报告。</w:t>
            </w:r>
          </w:p>
          <w:p w14:paraId="434D2EAC">
            <w:pPr>
              <w:adjustRightInd w:val="0"/>
              <w:snapToGrid w:val="0"/>
              <w:spacing w:beforeLines="50" w:line="360" w:lineRule="auto"/>
              <w:rPr>
                <w:color w:val="auto"/>
              </w:rPr>
            </w:pPr>
          </w:p>
          <w:p w14:paraId="3611600F">
            <w:pPr>
              <w:adjustRightInd w:val="0"/>
              <w:snapToGrid w:val="0"/>
              <w:rPr>
                <w:rFonts w:ascii="宋体" w:hAnsi="宋体" w:cs="宋体"/>
                <w:color w:val="auto"/>
              </w:rPr>
            </w:pPr>
          </w:p>
        </w:tc>
      </w:tr>
    </w:tbl>
    <w:p w14:paraId="5F35443B">
      <w:pPr>
        <w:pStyle w:val="21"/>
        <w:jc w:val="center"/>
        <w:outlineLvl w:val="0"/>
        <w:rPr>
          <w:rFonts w:ascii="黑体" w:hAnsi="黑体" w:eastAsia="黑体"/>
          <w:snapToGrid w:val="0"/>
          <w:color w:val="auto"/>
          <w:sz w:val="30"/>
          <w:szCs w:val="30"/>
        </w:rPr>
      </w:pPr>
      <w:r>
        <w:rPr>
          <w:snapToGrid w:val="0"/>
          <w:color w:val="auto"/>
        </w:rPr>
        <w:br w:type="page"/>
      </w:r>
      <w:r>
        <w:rPr>
          <w:rFonts w:hint="eastAsia" w:ascii="黑体" w:hAnsi="黑体" w:eastAsia="黑体"/>
          <w:snapToGrid w:val="0"/>
          <w:color w:val="auto"/>
          <w:sz w:val="30"/>
          <w:szCs w:val="30"/>
        </w:rPr>
        <w:t>六、结论</w:t>
      </w:r>
    </w:p>
    <w:tbl>
      <w:tblPr>
        <w:tblStyle w:val="24"/>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E3DAE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69" w:hRule="atLeast"/>
          <w:jc w:val="center"/>
        </w:trPr>
        <w:tc>
          <w:tcPr>
            <w:tcW w:w="8865" w:type="dxa"/>
          </w:tcPr>
          <w:p w14:paraId="0EABFC45">
            <w:pPr>
              <w:adjustRightInd w:val="0"/>
              <w:snapToGrid w:val="0"/>
              <w:spacing w:beforeLines="50" w:line="360" w:lineRule="auto"/>
              <w:rPr>
                <w:color w:val="auto"/>
              </w:rPr>
            </w:pPr>
            <w:r>
              <w:rPr>
                <w:color w:val="auto"/>
              </w:rPr>
              <w:t>1</w:t>
            </w:r>
            <w:r>
              <w:rPr>
                <w:rFonts w:hAnsi="宋体"/>
                <w:color w:val="auto"/>
              </w:rPr>
              <w:t>、结论</w:t>
            </w:r>
          </w:p>
          <w:p w14:paraId="47392953">
            <w:pPr>
              <w:adjustRightInd w:val="0"/>
              <w:snapToGrid w:val="0"/>
              <w:spacing w:line="360" w:lineRule="auto"/>
              <w:ind w:firstLine="420" w:firstLineChars="200"/>
              <w:rPr>
                <w:color w:val="auto"/>
              </w:rPr>
            </w:pPr>
            <w:r>
              <w:rPr>
                <w:rFonts w:hAnsi="宋体"/>
                <w:color w:val="auto"/>
              </w:rPr>
              <w:t>综上所述，该项目</w:t>
            </w:r>
            <w:r>
              <w:rPr>
                <w:rFonts w:hint="eastAsia" w:hAnsi="宋体"/>
                <w:color w:val="auto"/>
              </w:rPr>
              <w:t>为机制砂建设项目</w:t>
            </w:r>
            <w:r>
              <w:rPr>
                <w:rFonts w:hAnsi="宋体"/>
                <w:color w:val="auto"/>
              </w:rPr>
              <w:t>，项目符合国家和地方的相关产业政策，选</w:t>
            </w:r>
            <w:r>
              <w:rPr>
                <w:rFonts w:asciiTheme="minorEastAsia" w:hAnsiTheme="minorEastAsia" w:eastAsiaTheme="minorEastAsia"/>
                <w:color w:val="auto"/>
              </w:rPr>
              <w:t>址符合“三线一单”和</w:t>
            </w:r>
            <w:r>
              <w:rPr>
                <w:rFonts w:hint="eastAsia" w:asciiTheme="minorEastAsia" w:hAnsiTheme="minorEastAsia" w:eastAsiaTheme="minorEastAsia"/>
                <w:color w:val="auto"/>
              </w:rPr>
              <w:t>当地</w:t>
            </w:r>
            <w:r>
              <w:rPr>
                <w:rFonts w:asciiTheme="minorEastAsia" w:hAnsiTheme="minorEastAsia" w:eastAsiaTheme="minorEastAsia"/>
                <w:color w:val="auto"/>
              </w:rPr>
              <w:t>规划</w:t>
            </w:r>
            <w:r>
              <w:rPr>
                <w:rFonts w:hint="eastAsia" w:asciiTheme="minorEastAsia" w:hAnsiTheme="minorEastAsia" w:eastAsiaTheme="minorEastAsia"/>
                <w:color w:val="auto"/>
              </w:rPr>
              <w:t>要求</w:t>
            </w:r>
            <w:r>
              <w:rPr>
                <w:rFonts w:hAnsi="宋体"/>
                <w:color w:val="auto"/>
              </w:rPr>
              <w:t>，所采用的污染防治措施合理可行，可确保污染物稳定达标排放；项目污染物的排放量符合控制要求，处理达标后的各项污染物对周围环境的影响较小，不会改变当地的环境功能区划，项目的环境风险较小且可以接受。在落实本报告表提出的各项污染防治措施、严格</w:t>
            </w:r>
            <w:r>
              <w:rPr>
                <w:rFonts w:asciiTheme="minorEastAsia" w:hAnsiTheme="minorEastAsia" w:eastAsiaTheme="minorEastAsia"/>
                <w:color w:val="auto"/>
              </w:rPr>
              <w:t>执行“三同时”制度</w:t>
            </w:r>
            <w:r>
              <w:rPr>
                <w:rFonts w:hAnsi="宋体"/>
                <w:color w:val="auto"/>
              </w:rPr>
              <w:t>的情况下，从环保角度分析，项目在拟建地的建设具备环境可行性。</w:t>
            </w:r>
          </w:p>
          <w:p w14:paraId="46AE38D7">
            <w:pPr>
              <w:adjustRightInd w:val="0"/>
              <w:snapToGrid w:val="0"/>
              <w:spacing w:line="360" w:lineRule="auto"/>
              <w:rPr>
                <w:color w:val="auto"/>
              </w:rPr>
            </w:pPr>
            <w:r>
              <w:rPr>
                <w:color w:val="auto"/>
              </w:rPr>
              <w:t>2</w:t>
            </w:r>
            <w:r>
              <w:rPr>
                <w:rFonts w:hAnsi="宋体"/>
                <w:color w:val="auto"/>
              </w:rPr>
              <w:t>、建议和要求</w:t>
            </w:r>
          </w:p>
          <w:p w14:paraId="762748C7">
            <w:pPr>
              <w:adjustRightInd w:val="0"/>
              <w:snapToGrid w:val="0"/>
              <w:spacing w:line="360" w:lineRule="auto"/>
              <w:ind w:firstLine="420" w:firstLineChars="200"/>
              <w:rPr>
                <w:color w:val="auto"/>
              </w:rPr>
            </w:pPr>
            <w:r>
              <w:rPr>
                <w:rFonts w:hAnsi="宋体"/>
                <w:color w:val="auto"/>
              </w:rPr>
              <w:t>本环评报告表的评价结论是根据建设单位提供的选址、生产规模、生产工艺、原辅材料种类、用量、平面布局及与此对应的排污情况基础上得到的，如果上述情况发生重大变化，该建设单位应按环境保护法要求另行申报相关手续。</w:t>
            </w:r>
          </w:p>
          <w:p w14:paraId="1EC79144">
            <w:pPr>
              <w:adjustRightInd w:val="0"/>
              <w:snapToGrid w:val="0"/>
              <w:spacing w:line="360" w:lineRule="auto"/>
              <w:ind w:firstLine="420" w:firstLineChars="200"/>
              <w:rPr>
                <w:color w:val="auto"/>
              </w:rPr>
            </w:pPr>
            <w:r>
              <w:rPr>
                <w:rFonts w:hAnsi="宋体"/>
                <w:color w:val="auto"/>
              </w:rPr>
              <w:t>项目所涉及的消防、安全及卫生问题，不属于项目环境影响评价范围，请公司按国家有关</w:t>
            </w:r>
            <w:r>
              <w:rPr>
                <w:rFonts w:hint="eastAsia" w:hAnsi="宋体"/>
                <w:color w:val="auto"/>
              </w:rPr>
              <w:t>法律法规</w:t>
            </w:r>
            <w:r>
              <w:rPr>
                <w:rFonts w:hAnsi="宋体"/>
                <w:color w:val="auto"/>
              </w:rPr>
              <w:t>和相关标准执行。</w:t>
            </w:r>
          </w:p>
          <w:p w14:paraId="6A31F446">
            <w:pPr>
              <w:adjustRightInd w:val="0"/>
              <w:snapToGrid w:val="0"/>
              <w:spacing w:line="360" w:lineRule="auto"/>
              <w:ind w:firstLine="420" w:firstLineChars="200"/>
              <w:rPr>
                <w:color w:val="auto"/>
              </w:rPr>
            </w:pPr>
            <w:r>
              <w:rPr>
                <w:rFonts w:hAnsi="宋体"/>
                <w:color w:val="auto"/>
              </w:rPr>
              <w:t>建设单位要严格执</w:t>
            </w:r>
            <w:r>
              <w:rPr>
                <w:rFonts w:ascii="宋体" w:hAnsi="宋体"/>
                <w:color w:val="auto"/>
              </w:rPr>
              <w:t>行“三同时”，</w:t>
            </w:r>
            <w:r>
              <w:rPr>
                <w:rFonts w:hAnsi="宋体"/>
                <w:color w:val="auto"/>
              </w:rPr>
              <w:t>切实做到环保治理设施与生产同步进行，确保污染物达标排放。项目的建设应重视引进和建立先进的环保管理模式，完善管理制度，强化企业职工的环保意识。</w:t>
            </w:r>
          </w:p>
          <w:p w14:paraId="401EE0B1">
            <w:pPr>
              <w:adjustRightInd w:val="0"/>
              <w:snapToGrid w:val="0"/>
              <w:spacing w:line="360" w:lineRule="auto"/>
              <w:ind w:firstLine="420" w:firstLineChars="200"/>
              <w:rPr>
                <w:rFonts w:hAnsi="宋体"/>
                <w:color w:val="auto"/>
              </w:rPr>
            </w:pPr>
            <w:r>
              <w:rPr>
                <w:rFonts w:hAnsi="宋体"/>
                <w:color w:val="auto"/>
              </w:rPr>
              <w:t>生产过程中严格执行操作规程，做好生产设备运行期间的维护保养工作，加强噪声污染防治工作，确保厂界噪声达标。</w:t>
            </w:r>
          </w:p>
          <w:p w14:paraId="34BB04A3">
            <w:pPr>
              <w:adjustRightInd w:val="0"/>
              <w:snapToGrid w:val="0"/>
              <w:spacing w:line="360" w:lineRule="auto"/>
              <w:ind w:firstLine="420" w:firstLineChars="200"/>
              <w:rPr>
                <w:rFonts w:hAnsi="宋体"/>
                <w:color w:val="auto"/>
              </w:rPr>
            </w:pPr>
            <w:r>
              <w:rPr>
                <w:rFonts w:hint="eastAsia" w:hAnsi="宋体"/>
                <w:color w:val="auto"/>
              </w:rPr>
              <w:t>建设单位应按照国家相关标准，取得排污许可证，进行环保验收后方可进行生产。</w:t>
            </w:r>
          </w:p>
          <w:p w14:paraId="44487B02">
            <w:pPr>
              <w:snapToGrid w:val="0"/>
              <w:spacing w:line="360" w:lineRule="auto"/>
              <w:ind w:firstLine="480" w:firstLineChars="200"/>
              <w:rPr>
                <w:rFonts w:ascii="宋体" w:cs="宋体"/>
                <w:color w:val="auto"/>
                <w:sz w:val="24"/>
              </w:rPr>
            </w:pPr>
          </w:p>
        </w:tc>
      </w:tr>
    </w:tbl>
    <w:p w14:paraId="0643BBEF">
      <w:pPr>
        <w:rPr>
          <w:rFonts w:ascii="宋体"/>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052B71A0">
      <w:pPr>
        <w:pStyle w:val="21"/>
        <w:adjustRightInd w:val="0"/>
        <w:snapToGrid w:val="0"/>
        <w:spacing w:before="0" w:beforeAutospacing="0" w:after="0" w:afterAutospacing="0" w:line="552" w:lineRule="auto"/>
        <w:jc w:val="center"/>
        <w:outlineLvl w:val="0"/>
        <w:rPr>
          <w:rFonts w:ascii="方正小标宋_GBK" w:hAnsi="黑体" w:eastAsia="方正小标宋_GBK"/>
          <w:snapToGrid w:val="0"/>
          <w:color w:val="auto"/>
          <w:sz w:val="38"/>
          <w:szCs w:val="38"/>
        </w:rPr>
      </w:pPr>
      <w:r>
        <w:rPr>
          <w:rFonts w:hint="eastAsia" w:ascii="方正小标宋_GBK" w:hAnsi="黑体" w:eastAsia="方正小标宋_GBK"/>
          <w:snapToGrid w:val="0"/>
          <w:color w:val="auto"/>
          <w:sz w:val="38"/>
          <w:szCs w:val="38"/>
        </w:rPr>
        <w:t>建设项目污染物排放量汇总表</w:t>
      </w:r>
    </w:p>
    <w:tbl>
      <w:tblPr>
        <w:tblStyle w:val="24"/>
        <w:tblW w:w="1392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1895"/>
        <w:gridCol w:w="1466"/>
        <w:gridCol w:w="1276"/>
        <w:gridCol w:w="1701"/>
        <w:gridCol w:w="1559"/>
        <w:gridCol w:w="1761"/>
        <w:gridCol w:w="1811"/>
        <w:gridCol w:w="1106"/>
      </w:tblGrid>
      <w:tr w14:paraId="23D45F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345" w:type="dxa"/>
            <w:tcBorders>
              <w:tl2br w:val="single" w:color="auto" w:sz="4" w:space="0"/>
            </w:tcBorders>
            <w:tcMar>
              <w:left w:w="28" w:type="dxa"/>
              <w:right w:w="28" w:type="dxa"/>
            </w:tcMar>
            <w:vAlign w:val="center"/>
          </w:tcPr>
          <w:p w14:paraId="5174EDF5">
            <w:pPr>
              <w:pStyle w:val="33"/>
              <w:spacing w:beforeLines="0" w:afterLines="0" w:line="240" w:lineRule="auto"/>
              <w:ind w:left="396" w:hanging="396"/>
              <w:jc w:val="right"/>
              <w:rPr>
                <w:rFonts w:cs="宋体" w:asciiTheme="minorEastAsia" w:hAnsiTheme="minorEastAsia" w:eastAsiaTheme="minorEastAsia"/>
                <w:snapToGrid w:val="0"/>
                <w:color w:val="auto"/>
                <w:spacing w:val="-6"/>
                <w:kern w:val="21"/>
                <w:szCs w:val="21"/>
              </w:rPr>
            </w:pPr>
            <w:r>
              <w:rPr>
                <w:rFonts w:hint="eastAsia" w:cs="宋体" w:asciiTheme="minorEastAsia" w:hAnsiTheme="minorEastAsia" w:eastAsiaTheme="minorEastAsia"/>
                <w:snapToGrid w:val="0"/>
                <w:color w:val="auto"/>
                <w:spacing w:val="-6"/>
                <w:kern w:val="21"/>
                <w:szCs w:val="21"/>
              </w:rPr>
              <w:t>项目</w:t>
            </w:r>
          </w:p>
          <w:p w14:paraId="7AD2B088">
            <w:pPr>
              <w:pStyle w:val="33"/>
              <w:spacing w:beforeLines="0" w:afterLines="0" w:line="240" w:lineRule="auto"/>
              <w:ind w:left="396" w:hanging="396"/>
              <w:jc w:val="left"/>
              <w:rPr>
                <w:rFonts w:cs="宋体" w:asciiTheme="minorEastAsia" w:hAnsiTheme="minorEastAsia" w:eastAsiaTheme="minorEastAsia"/>
                <w:snapToGrid w:val="0"/>
                <w:color w:val="auto"/>
                <w:spacing w:val="-6"/>
                <w:kern w:val="21"/>
                <w:szCs w:val="21"/>
              </w:rPr>
            </w:pPr>
            <w:r>
              <w:rPr>
                <w:rFonts w:hint="eastAsia" w:cs="宋体" w:asciiTheme="minorEastAsia" w:hAnsiTheme="minorEastAsia" w:eastAsiaTheme="minorEastAsia"/>
                <w:snapToGrid w:val="0"/>
                <w:color w:val="auto"/>
                <w:spacing w:val="-6"/>
                <w:kern w:val="21"/>
                <w:szCs w:val="21"/>
              </w:rPr>
              <w:t>分类</w:t>
            </w:r>
          </w:p>
        </w:tc>
        <w:tc>
          <w:tcPr>
            <w:tcW w:w="1895" w:type="dxa"/>
            <w:tcMar>
              <w:left w:w="28" w:type="dxa"/>
              <w:right w:w="28" w:type="dxa"/>
            </w:tcMar>
            <w:vAlign w:val="center"/>
          </w:tcPr>
          <w:p w14:paraId="0A7D642E">
            <w:pPr>
              <w:pStyle w:val="33"/>
              <w:spacing w:beforeLines="0" w:afterLines="0" w:line="240" w:lineRule="auto"/>
              <w:ind w:left="396" w:hanging="396"/>
              <w:rPr>
                <w:rFonts w:cs="宋体" w:asciiTheme="minorEastAsia" w:hAnsiTheme="minorEastAsia" w:eastAsiaTheme="minorEastAsia"/>
                <w:snapToGrid w:val="0"/>
                <w:color w:val="auto"/>
                <w:spacing w:val="-6"/>
                <w:kern w:val="21"/>
                <w:szCs w:val="21"/>
              </w:rPr>
            </w:pPr>
            <w:r>
              <w:rPr>
                <w:rFonts w:hint="eastAsia" w:cs="宋体" w:asciiTheme="minorEastAsia" w:hAnsiTheme="minorEastAsia" w:eastAsiaTheme="minorEastAsia"/>
                <w:snapToGrid w:val="0"/>
                <w:color w:val="auto"/>
                <w:spacing w:val="-6"/>
                <w:kern w:val="21"/>
                <w:szCs w:val="21"/>
              </w:rPr>
              <w:t>污染物名称</w:t>
            </w:r>
          </w:p>
        </w:tc>
        <w:tc>
          <w:tcPr>
            <w:tcW w:w="1466" w:type="dxa"/>
            <w:tcMar>
              <w:left w:w="28" w:type="dxa"/>
              <w:right w:w="28" w:type="dxa"/>
            </w:tcMar>
            <w:vAlign w:val="center"/>
          </w:tcPr>
          <w:p w14:paraId="526AC474">
            <w:pPr>
              <w:pStyle w:val="33"/>
              <w:spacing w:beforeLines="0" w:afterLines="0" w:line="240" w:lineRule="auto"/>
              <w:ind w:left="396" w:hanging="396"/>
              <w:rPr>
                <w:rFonts w:asciiTheme="minorEastAsia" w:hAnsiTheme="minorEastAsia" w:eastAsiaTheme="minorEastAsia"/>
                <w:snapToGrid w:val="0"/>
                <w:color w:val="auto"/>
                <w:spacing w:val="-6"/>
                <w:kern w:val="21"/>
                <w:szCs w:val="21"/>
              </w:rPr>
            </w:pPr>
            <w:r>
              <w:rPr>
                <w:rFonts w:asciiTheme="minorEastAsia" w:hAnsiTheme="minorEastAsia" w:eastAsiaTheme="minorEastAsia"/>
                <w:snapToGrid w:val="0"/>
                <w:color w:val="auto"/>
                <w:spacing w:val="-6"/>
                <w:kern w:val="21"/>
                <w:szCs w:val="21"/>
              </w:rPr>
              <w:t>现有工程</w:t>
            </w:r>
          </w:p>
          <w:p w14:paraId="0D365E07">
            <w:pPr>
              <w:pStyle w:val="33"/>
              <w:spacing w:beforeLines="0" w:afterLines="0" w:line="240" w:lineRule="auto"/>
              <w:ind w:left="396" w:hanging="396"/>
              <w:rPr>
                <w:rFonts w:asciiTheme="minorEastAsia" w:hAnsiTheme="minorEastAsia" w:eastAsiaTheme="minorEastAsia"/>
                <w:snapToGrid w:val="0"/>
                <w:color w:val="auto"/>
                <w:spacing w:val="-6"/>
                <w:kern w:val="21"/>
                <w:szCs w:val="21"/>
              </w:rPr>
            </w:pPr>
            <w:r>
              <w:rPr>
                <w:rFonts w:asciiTheme="minorEastAsia" w:hAnsiTheme="minorEastAsia" w:eastAsiaTheme="minorEastAsia"/>
                <w:snapToGrid w:val="0"/>
                <w:color w:val="auto"/>
                <w:spacing w:val="-6"/>
                <w:kern w:val="21"/>
                <w:szCs w:val="21"/>
              </w:rPr>
              <w:t>排放量（固</w:t>
            </w:r>
            <w:r>
              <w:rPr>
                <w:rFonts w:hint="eastAsia" w:asciiTheme="minorEastAsia" w:hAnsiTheme="minorEastAsia" w:eastAsiaTheme="minorEastAsia"/>
                <w:snapToGrid w:val="0"/>
                <w:color w:val="auto"/>
                <w:spacing w:val="-6"/>
                <w:kern w:val="21"/>
                <w:szCs w:val="21"/>
              </w:rPr>
              <w:t>体</w:t>
            </w:r>
            <w:r>
              <w:rPr>
                <w:rFonts w:asciiTheme="minorEastAsia" w:hAnsiTheme="minorEastAsia" w:eastAsiaTheme="minorEastAsia"/>
                <w:snapToGrid w:val="0"/>
                <w:color w:val="auto"/>
                <w:spacing w:val="-6"/>
                <w:kern w:val="21"/>
                <w:szCs w:val="21"/>
              </w:rPr>
              <w:t>废</w:t>
            </w:r>
            <w:r>
              <w:rPr>
                <w:rFonts w:hint="eastAsia" w:asciiTheme="minorEastAsia" w:hAnsiTheme="minorEastAsia" w:eastAsiaTheme="minorEastAsia"/>
                <w:snapToGrid w:val="0"/>
                <w:color w:val="auto"/>
                <w:spacing w:val="-6"/>
                <w:kern w:val="21"/>
                <w:szCs w:val="21"/>
              </w:rPr>
              <w:t>物</w:t>
            </w:r>
            <w:r>
              <w:rPr>
                <w:rFonts w:asciiTheme="minorEastAsia" w:hAnsiTheme="minorEastAsia" w:eastAsiaTheme="minorEastAsia"/>
                <w:snapToGrid w:val="0"/>
                <w:color w:val="auto"/>
                <w:spacing w:val="-6"/>
                <w:kern w:val="21"/>
                <w:szCs w:val="21"/>
              </w:rPr>
              <w:t>产生量）</w:t>
            </w:r>
            <w:r>
              <w:rPr>
                <w:rFonts w:asciiTheme="minorEastAsia" w:hAnsiTheme="minorEastAsia" w:eastAsiaTheme="minorEastAsia"/>
                <w:snapToGrid w:val="0"/>
                <w:color w:val="auto"/>
                <w:spacing w:val="-6"/>
                <w:kern w:val="21"/>
                <w:szCs w:val="21"/>
              </w:rPr>
              <w:fldChar w:fldCharType="begin"/>
            </w:r>
            <w:r>
              <w:rPr>
                <w:rFonts w:asciiTheme="minorEastAsia" w:hAnsiTheme="minorEastAsia" w:eastAsiaTheme="minorEastAsia"/>
                <w:snapToGrid w:val="0"/>
                <w:color w:val="auto"/>
                <w:spacing w:val="-6"/>
                <w:kern w:val="21"/>
                <w:szCs w:val="21"/>
              </w:rPr>
              <w:instrText xml:space="preserve"> = 1 \* GB3 \* MERGEFORMAT </w:instrText>
            </w:r>
            <w:r>
              <w:rPr>
                <w:rFonts w:asciiTheme="minorEastAsia" w:hAnsiTheme="minorEastAsia" w:eastAsiaTheme="minorEastAsia"/>
                <w:snapToGrid w:val="0"/>
                <w:color w:val="auto"/>
                <w:spacing w:val="-6"/>
                <w:kern w:val="21"/>
                <w:szCs w:val="21"/>
              </w:rPr>
              <w:fldChar w:fldCharType="separate"/>
            </w:r>
            <w:r>
              <w:rPr>
                <w:rFonts w:hint="eastAsia" w:cs="宋体" w:asciiTheme="minorEastAsia" w:hAnsiTheme="minorEastAsia" w:eastAsiaTheme="minorEastAsia"/>
                <w:color w:val="auto"/>
                <w:kern w:val="2"/>
                <w:szCs w:val="21"/>
              </w:rPr>
              <w:t>①</w:t>
            </w:r>
            <w:r>
              <w:rPr>
                <w:rFonts w:asciiTheme="minorEastAsia" w:hAnsiTheme="minorEastAsia" w:eastAsiaTheme="minorEastAsia"/>
                <w:snapToGrid w:val="0"/>
                <w:color w:val="auto"/>
                <w:spacing w:val="-6"/>
                <w:kern w:val="21"/>
                <w:szCs w:val="21"/>
              </w:rPr>
              <w:fldChar w:fldCharType="end"/>
            </w:r>
          </w:p>
        </w:tc>
        <w:tc>
          <w:tcPr>
            <w:tcW w:w="1276" w:type="dxa"/>
            <w:tcMar>
              <w:left w:w="28" w:type="dxa"/>
              <w:right w:w="28" w:type="dxa"/>
            </w:tcMar>
            <w:vAlign w:val="center"/>
          </w:tcPr>
          <w:p w14:paraId="56FC4D59">
            <w:pPr>
              <w:pStyle w:val="33"/>
              <w:spacing w:beforeLines="0" w:afterLines="0" w:line="240" w:lineRule="auto"/>
              <w:ind w:left="396" w:hanging="396"/>
              <w:rPr>
                <w:rFonts w:asciiTheme="minorEastAsia" w:hAnsiTheme="minorEastAsia" w:eastAsiaTheme="minorEastAsia"/>
                <w:snapToGrid w:val="0"/>
                <w:color w:val="auto"/>
                <w:spacing w:val="-6"/>
                <w:kern w:val="21"/>
                <w:szCs w:val="21"/>
              </w:rPr>
            </w:pPr>
            <w:r>
              <w:rPr>
                <w:rFonts w:asciiTheme="minorEastAsia" w:hAnsiTheme="minorEastAsia" w:eastAsiaTheme="minorEastAsia"/>
                <w:snapToGrid w:val="0"/>
                <w:color w:val="auto"/>
                <w:spacing w:val="-6"/>
                <w:kern w:val="21"/>
                <w:szCs w:val="21"/>
              </w:rPr>
              <w:t>现有工程</w:t>
            </w:r>
          </w:p>
          <w:p w14:paraId="12921C2A">
            <w:pPr>
              <w:pStyle w:val="33"/>
              <w:spacing w:beforeLines="0" w:afterLines="0" w:line="240" w:lineRule="auto"/>
              <w:ind w:left="396" w:hanging="396"/>
              <w:rPr>
                <w:rFonts w:asciiTheme="minorEastAsia" w:hAnsiTheme="minorEastAsia" w:eastAsiaTheme="minorEastAsia"/>
                <w:snapToGrid w:val="0"/>
                <w:color w:val="auto"/>
                <w:spacing w:val="-6"/>
                <w:kern w:val="21"/>
                <w:szCs w:val="21"/>
              </w:rPr>
            </w:pPr>
            <w:r>
              <w:rPr>
                <w:rFonts w:asciiTheme="minorEastAsia" w:hAnsiTheme="minorEastAsia" w:eastAsiaTheme="minorEastAsia"/>
                <w:snapToGrid w:val="0"/>
                <w:color w:val="auto"/>
                <w:spacing w:val="-6"/>
                <w:kern w:val="21"/>
                <w:szCs w:val="21"/>
              </w:rPr>
              <w:t>许可排放量</w:t>
            </w:r>
          </w:p>
          <w:p w14:paraId="160FDBF1">
            <w:pPr>
              <w:pStyle w:val="33"/>
              <w:spacing w:beforeLines="0" w:afterLines="0"/>
              <w:ind w:left="420" w:hanging="420"/>
              <w:rPr>
                <w:rFonts w:asciiTheme="minorEastAsia" w:hAnsiTheme="minorEastAsia" w:eastAsiaTheme="minorEastAsia"/>
                <w:snapToGrid w:val="0"/>
                <w:color w:val="auto"/>
                <w:spacing w:val="-6"/>
                <w:kern w:val="21"/>
                <w:szCs w:val="21"/>
              </w:rPr>
            </w:pPr>
            <w:r>
              <w:rPr>
                <w:rFonts w:asciiTheme="minorEastAsia" w:hAnsiTheme="minorEastAsia" w:eastAsiaTheme="minorEastAsia"/>
                <w:snapToGrid w:val="0"/>
                <w:color w:val="auto"/>
                <w:spacing w:val="-6"/>
                <w:kern w:val="21"/>
                <w:szCs w:val="21"/>
              </w:rPr>
              <w:fldChar w:fldCharType="begin"/>
            </w:r>
            <w:r>
              <w:rPr>
                <w:rFonts w:asciiTheme="minorEastAsia" w:hAnsiTheme="minorEastAsia" w:eastAsiaTheme="minorEastAsia"/>
                <w:snapToGrid w:val="0"/>
                <w:color w:val="auto"/>
                <w:spacing w:val="-6"/>
                <w:kern w:val="21"/>
                <w:szCs w:val="21"/>
              </w:rPr>
              <w:instrText xml:space="preserve"> = 2 \* GB3 \* MERGEFORMAT </w:instrText>
            </w:r>
            <w:r>
              <w:rPr>
                <w:rFonts w:asciiTheme="minorEastAsia" w:hAnsiTheme="minorEastAsia" w:eastAsiaTheme="minorEastAsia"/>
                <w:snapToGrid w:val="0"/>
                <w:color w:val="auto"/>
                <w:spacing w:val="-6"/>
                <w:kern w:val="21"/>
                <w:szCs w:val="21"/>
              </w:rPr>
              <w:fldChar w:fldCharType="separate"/>
            </w:r>
            <w:r>
              <w:rPr>
                <w:rFonts w:hint="eastAsia" w:cs="宋体" w:asciiTheme="minorEastAsia" w:hAnsiTheme="minorEastAsia" w:eastAsiaTheme="minorEastAsia"/>
                <w:snapToGrid w:val="0"/>
                <w:color w:val="auto"/>
                <w:spacing w:val="-6"/>
                <w:kern w:val="21"/>
                <w:szCs w:val="21"/>
              </w:rPr>
              <w:t>②</w:t>
            </w:r>
            <w:r>
              <w:rPr>
                <w:rFonts w:asciiTheme="minorEastAsia" w:hAnsiTheme="minorEastAsia" w:eastAsiaTheme="minorEastAsia"/>
                <w:snapToGrid w:val="0"/>
                <w:color w:val="auto"/>
                <w:spacing w:val="-6"/>
                <w:kern w:val="21"/>
                <w:szCs w:val="21"/>
              </w:rPr>
              <w:fldChar w:fldCharType="end"/>
            </w:r>
          </w:p>
        </w:tc>
        <w:tc>
          <w:tcPr>
            <w:tcW w:w="1701" w:type="dxa"/>
            <w:tcMar>
              <w:left w:w="28" w:type="dxa"/>
              <w:right w:w="28" w:type="dxa"/>
            </w:tcMar>
            <w:vAlign w:val="center"/>
          </w:tcPr>
          <w:p w14:paraId="47624FC5">
            <w:pPr>
              <w:pStyle w:val="33"/>
              <w:spacing w:beforeLines="0" w:afterLines="0" w:line="240" w:lineRule="auto"/>
              <w:ind w:left="396" w:hanging="396"/>
              <w:rPr>
                <w:rFonts w:asciiTheme="minorEastAsia" w:hAnsiTheme="minorEastAsia" w:eastAsiaTheme="minorEastAsia"/>
                <w:snapToGrid w:val="0"/>
                <w:color w:val="auto"/>
                <w:spacing w:val="-6"/>
                <w:kern w:val="21"/>
                <w:szCs w:val="21"/>
              </w:rPr>
            </w:pPr>
            <w:r>
              <w:rPr>
                <w:rFonts w:asciiTheme="minorEastAsia" w:hAnsiTheme="minorEastAsia" w:eastAsiaTheme="minorEastAsia"/>
                <w:snapToGrid w:val="0"/>
                <w:color w:val="auto"/>
                <w:spacing w:val="-6"/>
                <w:kern w:val="21"/>
                <w:szCs w:val="21"/>
              </w:rPr>
              <w:t>在建工程</w:t>
            </w:r>
          </w:p>
          <w:p w14:paraId="21563E6D">
            <w:pPr>
              <w:pStyle w:val="33"/>
              <w:spacing w:beforeLines="0" w:afterLines="0" w:line="240" w:lineRule="auto"/>
              <w:ind w:left="396" w:hanging="396"/>
              <w:rPr>
                <w:rFonts w:asciiTheme="minorEastAsia" w:hAnsiTheme="minorEastAsia" w:eastAsiaTheme="minorEastAsia"/>
                <w:snapToGrid w:val="0"/>
                <w:color w:val="auto"/>
                <w:spacing w:val="-6"/>
                <w:kern w:val="21"/>
                <w:szCs w:val="21"/>
              </w:rPr>
            </w:pPr>
            <w:r>
              <w:rPr>
                <w:rFonts w:asciiTheme="minorEastAsia" w:hAnsiTheme="minorEastAsia" w:eastAsiaTheme="minorEastAsia"/>
                <w:snapToGrid w:val="0"/>
                <w:color w:val="auto"/>
                <w:spacing w:val="-6"/>
                <w:kern w:val="21"/>
                <w:szCs w:val="21"/>
              </w:rPr>
              <w:t>排放量（固</w:t>
            </w:r>
            <w:r>
              <w:rPr>
                <w:rFonts w:hint="eastAsia" w:asciiTheme="minorEastAsia" w:hAnsiTheme="minorEastAsia" w:eastAsiaTheme="minorEastAsia"/>
                <w:snapToGrid w:val="0"/>
                <w:color w:val="auto"/>
                <w:spacing w:val="-6"/>
                <w:kern w:val="21"/>
                <w:szCs w:val="21"/>
              </w:rPr>
              <w:t>体</w:t>
            </w:r>
            <w:r>
              <w:rPr>
                <w:rFonts w:asciiTheme="minorEastAsia" w:hAnsiTheme="minorEastAsia" w:eastAsiaTheme="minorEastAsia"/>
                <w:snapToGrid w:val="0"/>
                <w:color w:val="auto"/>
                <w:spacing w:val="-6"/>
                <w:kern w:val="21"/>
                <w:szCs w:val="21"/>
              </w:rPr>
              <w:t>废</w:t>
            </w:r>
            <w:r>
              <w:rPr>
                <w:rFonts w:hint="eastAsia" w:asciiTheme="minorEastAsia" w:hAnsiTheme="minorEastAsia" w:eastAsiaTheme="minorEastAsia"/>
                <w:snapToGrid w:val="0"/>
                <w:color w:val="auto"/>
                <w:spacing w:val="-6"/>
                <w:kern w:val="21"/>
                <w:szCs w:val="21"/>
              </w:rPr>
              <w:t>物</w:t>
            </w:r>
            <w:r>
              <w:rPr>
                <w:rFonts w:asciiTheme="minorEastAsia" w:hAnsiTheme="minorEastAsia" w:eastAsiaTheme="minorEastAsia"/>
                <w:snapToGrid w:val="0"/>
                <w:color w:val="auto"/>
                <w:spacing w:val="-6"/>
                <w:kern w:val="21"/>
                <w:szCs w:val="21"/>
              </w:rPr>
              <w:t>产生量）</w:t>
            </w:r>
            <w:r>
              <w:rPr>
                <w:rFonts w:asciiTheme="minorEastAsia" w:hAnsiTheme="minorEastAsia" w:eastAsiaTheme="minorEastAsia"/>
                <w:snapToGrid w:val="0"/>
                <w:color w:val="auto"/>
                <w:spacing w:val="-6"/>
                <w:kern w:val="21"/>
                <w:szCs w:val="21"/>
              </w:rPr>
              <w:fldChar w:fldCharType="begin"/>
            </w:r>
            <w:r>
              <w:rPr>
                <w:rFonts w:asciiTheme="minorEastAsia" w:hAnsiTheme="minorEastAsia" w:eastAsiaTheme="minorEastAsia"/>
                <w:snapToGrid w:val="0"/>
                <w:color w:val="auto"/>
                <w:spacing w:val="-6"/>
                <w:kern w:val="21"/>
                <w:szCs w:val="21"/>
              </w:rPr>
              <w:instrText xml:space="preserve"> = 3 \* GB3 \* MERGEFORMAT </w:instrText>
            </w:r>
            <w:r>
              <w:rPr>
                <w:rFonts w:asciiTheme="minorEastAsia" w:hAnsiTheme="minorEastAsia" w:eastAsiaTheme="minorEastAsia"/>
                <w:snapToGrid w:val="0"/>
                <w:color w:val="auto"/>
                <w:spacing w:val="-6"/>
                <w:kern w:val="21"/>
                <w:szCs w:val="21"/>
              </w:rPr>
              <w:fldChar w:fldCharType="separate"/>
            </w:r>
            <w:r>
              <w:rPr>
                <w:rFonts w:hint="eastAsia" w:cs="宋体" w:asciiTheme="minorEastAsia" w:hAnsiTheme="minorEastAsia" w:eastAsiaTheme="minorEastAsia"/>
                <w:color w:val="auto"/>
                <w:kern w:val="2"/>
                <w:szCs w:val="21"/>
              </w:rPr>
              <w:t>③</w:t>
            </w:r>
            <w:r>
              <w:rPr>
                <w:rFonts w:asciiTheme="minorEastAsia" w:hAnsiTheme="minorEastAsia" w:eastAsiaTheme="minorEastAsia"/>
                <w:snapToGrid w:val="0"/>
                <w:color w:val="auto"/>
                <w:spacing w:val="-6"/>
                <w:kern w:val="21"/>
                <w:szCs w:val="21"/>
              </w:rPr>
              <w:fldChar w:fldCharType="end"/>
            </w:r>
          </w:p>
        </w:tc>
        <w:tc>
          <w:tcPr>
            <w:tcW w:w="1559" w:type="dxa"/>
            <w:tcMar>
              <w:left w:w="28" w:type="dxa"/>
              <w:right w:w="28" w:type="dxa"/>
            </w:tcMar>
            <w:vAlign w:val="center"/>
          </w:tcPr>
          <w:p w14:paraId="226891C0">
            <w:pPr>
              <w:pStyle w:val="33"/>
              <w:spacing w:beforeLines="0" w:afterLines="0" w:line="240" w:lineRule="auto"/>
              <w:ind w:left="396" w:hanging="396"/>
              <w:rPr>
                <w:rFonts w:asciiTheme="minorEastAsia" w:hAnsiTheme="minorEastAsia" w:eastAsiaTheme="minorEastAsia"/>
                <w:snapToGrid w:val="0"/>
                <w:color w:val="auto"/>
                <w:spacing w:val="-6"/>
                <w:kern w:val="21"/>
                <w:szCs w:val="21"/>
              </w:rPr>
            </w:pPr>
            <w:r>
              <w:rPr>
                <w:rFonts w:asciiTheme="minorEastAsia" w:hAnsiTheme="minorEastAsia" w:eastAsiaTheme="minorEastAsia"/>
                <w:snapToGrid w:val="0"/>
                <w:color w:val="auto"/>
                <w:spacing w:val="-6"/>
                <w:kern w:val="21"/>
                <w:szCs w:val="21"/>
              </w:rPr>
              <w:t>本项目</w:t>
            </w:r>
          </w:p>
          <w:p w14:paraId="264916B3">
            <w:pPr>
              <w:pStyle w:val="33"/>
              <w:spacing w:beforeLines="0" w:afterLines="0" w:line="240" w:lineRule="auto"/>
              <w:ind w:left="396" w:hanging="396"/>
              <w:rPr>
                <w:rFonts w:asciiTheme="minorEastAsia" w:hAnsiTheme="minorEastAsia" w:eastAsiaTheme="minorEastAsia"/>
                <w:snapToGrid w:val="0"/>
                <w:color w:val="auto"/>
                <w:spacing w:val="-6"/>
                <w:kern w:val="21"/>
                <w:szCs w:val="21"/>
              </w:rPr>
            </w:pPr>
            <w:r>
              <w:rPr>
                <w:rFonts w:asciiTheme="minorEastAsia" w:hAnsiTheme="minorEastAsia" w:eastAsiaTheme="minorEastAsia"/>
                <w:snapToGrid w:val="0"/>
                <w:color w:val="auto"/>
                <w:spacing w:val="-6"/>
                <w:kern w:val="21"/>
                <w:szCs w:val="21"/>
              </w:rPr>
              <w:t>排放量（固</w:t>
            </w:r>
            <w:r>
              <w:rPr>
                <w:rFonts w:hint="eastAsia" w:asciiTheme="minorEastAsia" w:hAnsiTheme="minorEastAsia" w:eastAsiaTheme="minorEastAsia"/>
                <w:snapToGrid w:val="0"/>
                <w:color w:val="auto"/>
                <w:spacing w:val="-6"/>
                <w:kern w:val="21"/>
                <w:szCs w:val="21"/>
              </w:rPr>
              <w:t>体</w:t>
            </w:r>
            <w:r>
              <w:rPr>
                <w:rFonts w:asciiTheme="minorEastAsia" w:hAnsiTheme="minorEastAsia" w:eastAsiaTheme="minorEastAsia"/>
                <w:snapToGrid w:val="0"/>
                <w:color w:val="auto"/>
                <w:spacing w:val="-6"/>
                <w:kern w:val="21"/>
                <w:szCs w:val="21"/>
              </w:rPr>
              <w:t>废</w:t>
            </w:r>
            <w:r>
              <w:rPr>
                <w:rFonts w:hint="eastAsia" w:asciiTheme="minorEastAsia" w:hAnsiTheme="minorEastAsia" w:eastAsiaTheme="minorEastAsia"/>
                <w:snapToGrid w:val="0"/>
                <w:color w:val="auto"/>
                <w:spacing w:val="-6"/>
                <w:kern w:val="21"/>
                <w:szCs w:val="21"/>
              </w:rPr>
              <w:t>物</w:t>
            </w:r>
            <w:r>
              <w:rPr>
                <w:rFonts w:asciiTheme="minorEastAsia" w:hAnsiTheme="minorEastAsia" w:eastAsiaTheme="minorEastAsia"/>
                <w:snapToGrid w:val="0"/>
                <w:color w:val="auto"/>
                <w:spacing w:val="-6"/>
                <w:kern w:val="21"/>
                <w:szCs w:val="21"/>
              </w:rPr>
              <w:t>产生量）</w:t>
            </w:r>
            <w:r>
              <w:rPr>
                <w:rFonts w:asciiTheme="minorEastAsia" w:hAnsiTheme="minorEastAsia" w:eastAsiaTheme="minorEastAsia"/>
                <w:snapToGrid w:val="0"/>
                <w:color w:val="auto"/>
                <w:spacing w:val="-6"/>
                <w:kern w:val="21"/>
                <w:szCs w:val="21"/>
              </w:rPr>
              <w:fldChar w:fldCharType="begin"/>
            </w:r>
            <w:r>
              <w:rPr>
                <w:rFonts w:asciiTheme="minorEastAsia" w:hAnsiTheme="minorEastAsia" w:eastAsiaTheme="minorEastAsia"/>
                <w:snapToGrid w:val="0"/>
                <w:color w:val="auto"/>
                <w:spacing w:val="-6"/>
                <w:kern w:val="21"/>
                <w:szCs w:val="21"/>
              </w:rPr>
              <w:instrText xml:space="preserve"> = 4 \* GB3 \* MERGEFORMAT </w:instrText>
            </w:r>
            <w:r>
              <w:rPr>
                <w:rFonts w:asciiTheme="minorEastAsia" w:hAnsiTheme="minorEastAsia" w:eastAsiaTheme="minorEastAsia"/>
                <w:snapToGrid w:val="0"/>
                <w:color w:val="auto"/>
                <w:spacing w:val="-6"/>
                <w:kern w:val="21"/>
                <w:szCs w:val="21"/>
              </w:rPr>
              <w:fldChar w:fldCharType="separate"/>
            </w:r>
            <w:r>
              <w:rPr>
                <w:rFonts w:hint="eastAsia" w:cs="宋体" w:asciiTheme="minorEastAsia" w:hAnsiTheme="minorEastAsia" w:eastAsiaTheme="minorEastAsia"/>
                <w:color w:val="auto"/>
                <w:kern w:val="2"/>
                <w:szCs w:val="21"/>
              </w:rPr>
              <w:t>④</w:t>
            </w:r>
            <w:r>
              <w:rPr>
                <w:rFonts w:asciiTheme="minorEastAsia" w:hAnsiTheme="minorEastAsia" w:eastAsiaTheme="minorEastAsia"/>
                <w:snapToGrid w:val="0"/>
                <w:color w:val="auto"/>
                <w:spacing w:val="-6"/>
                <w:kern w:val="21"/>
                <w:szCs w:val="21"/>
              </w:rPr>
              <w:fldChar w:fldCharType="end"/>
            </w:r>
          </w:p>
        </w:tc>
        <w:tc>
          <w:tcPr>
            <w:tcW w:w="1761" w:type="dxa"/>
            <w:tcMar>
              <w:left w:w="28" w:type="dxa"/>
              <w:right w:w="28" w:type="dxa"/>
            </w:tcMar>
            <w:vAlign w:val="center"/>
          </w:tcPr>
          <w:p w14:paraId="7C08D530">
            <w:pPr>
              <w:pStyle w:val="33"/>
              <w:spacing w:beforeLines="0" w:afterLines="0" w:line="240" w:lineRule="auto"/>
              <w:ind w:left="356" w:hanging="356"/>
              <w:rPr>
                <w:rFonts w:asciiTheme="minorEastAsia" w:hAnsiTheme="minorEastAsia" w:eastAsiaTheme="minorEastAsia"/>
                <w:snapToGrid w:val="0"/>
                <w:color w:val="auto"/>
                <w:spacing w:val="-16"/>
                <w:kern w:val="21"/>
                <w:szCs w:val="21"/>
              </w:rPr>
            </w:pPr>
            <w:r>
              <w:rPr>
                <w:rFonts w:asciiTheme="minorEastAsia" w:hAnsiTheme="minorEastAsia" w:eastAsiaTheme="minorEastAsia"/>
                <w:snapToGrid w:val="0"/>
                <w:color w:val="auto"/>
                <w:spacing w:val="-16"/>
                <w:kern w:val="21"/>
                <w:szCs w:val="21"/>
              </w:rPr>
              <w:t>以新带老削减量</w:t>
            </w:r>
          </w:p>
          <w:p w14:paraId="50E38B9C">
            <w:pPr>
              <w:pStyle w:val="33"/>
              <w:spacing w:beforeLines="0" w:afterLines="0" w:line="240" w:lineRule="auto"/>
              <w:ind w:left="356" w:hanging="356"/>
              <w:rPr>
                <w:rFonts w:asciiTheme="minorEastAsia" w:hAnsiTheme="minorEastAsia" w:eastAsiaTheme="minorEastAsia"/>
                <w:snapToGrid w:val="0"/>
                <w:color w:val="auto"/>
                <w:spacing w:val="-16"/>
                <w:kern w:val="21"/>
                <w:szCs w:val="21"/>
              </w:rPr>
            </w:pPr>
            <w:r>
              <w:rPr>
                <w:rFonts w:asciiTheme="minorEastAsia" w:hAnsiTheme="minorEastAsia" w:eastAsiaTheme="minorEastAsia"/>
                <w:snapToGrid w:val="0"/>
                <w:color w:val="auto"/>
                <w:spacing w:val="-16"/>
                <w:kern w:val="21"/>
                <w:szCs w:val="21"/>
              </w:rPr>
              <w:t>（新建项目不填）</w:t>
            </w:r>
            <w:r>
              <w:rPr>
                <w:rFonts w:asciiTheme="minorEastAsia" w:hAnsiTheme="minorEastAsia" w:eastAsiaTheme="minorEastAsia"/>
                <w:snapToGrid w:val="0"/>
                <w:color w:val="auto"/>
                <w:spacing w:val="-16"/>
                <w:kern w:val="21"/>
                <w:szCs w:val="21"/>
              </w:rPr>
              <w:fldChar w:fldCharType="begin"/>
            </w:r>
            <w:r>
              <w:rPr>
                <w:rFonts w:asciiTheme="minorEastAsia" w:hAnsiTheme="minorEastAsia" w:eastAsiaTheme="minorEastAsia"/>
                <w:snapToGrid w:val="0"/>
                <w:color w:val="auto"/>
                <w:spacing w:val="-16"/>
                <w:kern w:val="21"/>
                <w:szCs w:val="21"/>
              </w:rPr>
              <w:instrText xml:space="preserve"> = 5 \* GB3 \* MERGEFORMAT </w:instrText>
            </w:r>
            <w:r>
              <w:rPr>
                <w:rFonts w:asciiTheme="minorEastAsia" w:hAnsiTheme="minorEastAsia" w:eastAsiaTheme="minorEastAsia"/>
                <w:snapToGrid w:val="0"/>
                <w:color w:val="auto"/>
                <w:spacing w:val="-16"/>
                <w:kern w:val="21"/>
                <w:szCs w:val="21"/>
              </w:rPr>
              <w:fldChar w:fldCharType="separate"/>
            </w:r>
            <w:r>
              <w:rPr>
                <w:rFonts w:hint="eastAsia" w:cs="宋体" w:asciiTheme="minorEastAsia" w:hAnsiTheme="minorEastAsia" w:eastAsiaTheme="minorEastAsia"/>
                <w:color w:val="auto"/>
                <w:kern w:val="2"/>
                <w:szCs w:val="21"/>
              </w:rPr>
              <w:t>⑤</w:t>
            </w:r>
            <w:r>
              <w:rPr>
                <w:rFonts w:asciiTheme="minorEastAsia" w:hAnsiTheme="minorEastAsia" w:eastAsiaTheme="minorEastAsia"/>
                <w:snapToGrid w:val="0"/>
                <w:color w:val="auto"/>
                <w:spacing w:val="-16"/>
                <w:kern w:val="21"/>
                <w:szCs w:val="21"/>
              </w:rPr>
              <w:fldChar w:fldCharType="end"/>
            </w:r>
          </w:p>
        </w:tc>
        <w:tc>
          <w:tcPr>
            <w:tcW w:w="1811" w:type="dxa"/>
            <w:tcMar>
              <w:left w:w="28" w:type="dxa"/>
              <w:right w:w="28" w:type="dxa"/>
            </w:tcMar>
            <w:vAlign w:val="center"/>
          </w:tcPr>
          <w:p w14:paraId="7C5A8DF4">
            <w:pPr>
              <w:pStyle w:val="33"/>
              <w:spacing w:beforeLines="0" w:afterLines="0" w:line="240" w:lineRule="auto"/>
              <w:ind w:left="356" w:hanging="356"/>
              <w:rPr>
                <w:rFonts w:asciiTheme="minorEastAsia" w:hAnsiTheme="minorEastAsia" w:eastAsiaTheme="minorEastAsia"/>
                <w:snapToGrid w:val="0"/>
                <w:color w:val="auto"/>
                <w:spacing w:val="-16"/>
                <w:kern w:val="21"/>
                <w:szCs w:val="21"/>
              </w:rPr>
            </w:pPr>
            <w:r>
              <w:rPr>
                <w:rFonts w:asciiTheme="minorEastAsia" w:hAnsiTheme="minorEastAsia" w:eastAsiaTheme="minorEastAsia"/>
                <w:snapToGrid w:val="0"/>
                <w:color w:val="auto"/>
                <w:spacing w:val="-16"/>
                <w:kern w:val="21"/>
                <w:szCs w:val="21"/>
              </w:rPr>
              <w:t>本项目建成后</w:t>
            </w:r>
          </w:p>
          <w:p w14:paraId="37E6DBAF">
            <w:pPr>
              <w:pStyle w:val="33"/>
              <w:spacing w:beforeLines="0" w:afterLines="0" w:line="240" w:lineRule="auto"/>
              <w:ind w:left="356" w:hanging="356"/>
              <w:rPr>
                <w:rFonts w:asciiTheme="minorEastAsia" w:hAnsiTheme="minorEastAsia" w:eastAsiaTheme="minorEastAsia"/>
                <w:snapToGrid w:val="0"/>
                <w:color w:val="auto"/>
                <w:spacing w:val="-16"/>
                <w:kern w:val="21"/>
                <w:szCs w:val="21"/>
              </w:rPr>
            </w:pPr>
            <w:r>
              <w:rPr>
                <w:rFonts w:hint="eastAsia" w:asciiTheme="minorEastAsia" w:hAnsiTheme="minorEastAsia" w:eastAsiaTheme="minorEastAsia"/>
                <w:snapToGrid w:val="0"/>
                <w:color w:val="auto"/>
                <w:spacing w:val="-16"/>
                <w:kern w:val="21"/>
                <w:szCs w:val="21"/>
              </w:rPr>
              <w:t>全厂</w:t>
            </w:r>
            <w:r>
              <w:rPr>
                <w:rFonts w:asciiTheme="minorEastAsia" w:hAnsiTheme="minorEastAsia" w:eastAsiaTheme="minorEastAsia"/>
                <w:snapToGrid w:val="0"/>
                <w:color w:val="auto"/>
                <w:spacing w:val="-16"/>
                <w:kern w:val="21"/>
                <w:szCs w:val="21"/>
              </w:rPr>
              <w:t>排放量（固</w:t>
            </w:r>
            <w:r>
              <w:rPr>
                <w:rFonts w:hint="eastAsia" w:asciiTheme="minorEastAsia" w:hAnsiTheme="minorEastAsia" w:eastAsiaTheme="minorEastAsia"/>
                <w:snapToGrid w:val="0"/>
                <w:color w:val="auto"/>
                <w:spacing w:val="-16"/>
                <w:kern w:val="21"/>
                <w:szCs w:val="21"/>
              </w:rPr>
              <w:t>体</w:t>
            </w:r>
            <w:r>
              <w:rPr>
                <w:rFonts w:asciiTheme="minorEastAsia" w:hAnsiTheme="minorEastAsia" w:eastAsiaTheme="minorEastAsia"/>
                <w:snapToGrid w:val="0"/>
                <w:color w:val="auto"/>
                <w:spacing w:val="-16"/>
                <w:kern w:val="21"/>
                <w:szCs w:val="21"/>
              </w:rPr>
              <w:t>废</w:t>
            </w:r>
            <w:r>
              <w:rPr>
                <w:rFonts w:hint="eastAsia" w:asciiTheme="minorEastAsia" w:hAnsiTheme="minorEastAsia" w:eastAsiaTheme="minorEastAsia"/>
                <w:snapToGrid w:val="0"/>
                <w:color w:val="auto"/>
                <w:spacing w:val="-16"/>
                <w:kern w:val="21"/>
                <w:szCs w:val="21"/>
              </w:rPr>
              <w:t>物</w:t>
            </w:r>
            <w:r>
              <w:rPr>
                <w:rFonts w:asciiTheme="minorEastAsia" w:hAnsiTheme="minorEastAsia" w:eastAsiaTheme="minorEastAsia"/>
                <w:snapToGrid w:val="0"/>
                <w:color w:val="auto"/>
                <w:spacing w:val="-16"/>
                <w:kern w:val="21"/>
                <w:szCs w:val="21"/>
              </w:rPr>
              <w:t>产生量）</w:t>
            </w:r>
            <w:r>
              <w:rPr>
                <w:rFonts w:asciiTheme="minorEastAsia" w:hAnsiTheme="minorEastAsia" w:eastAsiaTheme="minorEastAsia"/>
                <w:snapToGrid w:val="0"/>
                <w:color w:val="auto"/>
                <w:spacing w:val="-16"/>
                <w:kern w:val="21"/>
                <w:szCs w:val="21"/>
              </w:rPr>
              <w:fldChar w:fldCharType="begin"/>
            </w:r>
            <w:r>
              <w:rPr>
                <w:rFonts w:asciiTheme="minorEastAsia" w:hAnsiTheme="minorEastAsia" w:eastAsiaTheme="minorEastAsia"/>
                <w:snapToGrid w:val="0"/>
                <w:color w:val="auto"/>
                <w:spacing w:val="-16"/>
                <w:kern w:val="21"/>
                <w:szCs w:val="21"/>
              </w:rPr>
              <w:instrText xml:space="preserve"> = 6 \* GB3 \* MERGEFORMAT </w:instrText>
            </w:r>
            <w:r>
              <w:rPr>
                <w:rFonts w:asciiTheme="minorEastAsia" w:hAnsiTheme="minorEastAsia" w:eastAsiaTheme="minorEastAsia"/>
                <w:snapToGrid w:val="0"/>
                <w:color w:val="auto"/>
                <w:spacing w:val="-16"/>
                <w:kern w:val="21"/>
                <w:szCs w:val="21"/>
              </w:rPr>
              <w:fldChar w:fldCharType="separate"/>
            </w:r>
            <w:r>
              <w:rPr>
                <w:rFonts w:hint="eastAsia" w:cs="宋体" w:asciiTheme="minorEastAsia" w:hAnsiTheme="minorEastAsia" w:eastAsiaTheme="minorEastAsia"/>
                <w:color w:val="auto"/>
                <w:kern w:val="2"/>
                <w:szCs w:val="21"/>
              </w:rPr>
              <w:t>⑥</w:t>
            </w:r>
            <w:r>
              <w:rPr>
                <w:rFonts w:asciiTheme="minorEastAsia" w:hAnsiTheme="minorEastAsia" w:eastAsiaTheme="minorEastAsia"/>
                <w:snapToGrid w:val="0"/>
                <w:color w:val="auto"/>
                <w:spacing w:val="-16"/>
                <w:kern w:val="21"/>
                <w:szCs w:val="21"/>
              </w:rPr>
              <w:fldChar w:fldCharType="end"/>
            </w:r>
          </w:p>
        </w:tc>
        <w:tc>
          <w:tcPr>
            <w:tcW w:w="1106" w:type="dxa"/>
            <w:tcMar>
              <w:left w:w="28" w:type="dxa"/>
              <w:right w:w="28" w:type="dxa"/>
            </w:tcMar>
            <w:vAlign w:val="center"/>
          </w:tcPr>
          <w:p w14:paraId="10529786">
            <w:pPr>
              <w:pStyle w:val="33"/>
              <w:spacing w:beforeLines="0" w:afterLines="0" w:line="240" w:lineRule="auto"/>
              <w:ind w:left="396" w:hanging="396"/>
              <w:rPr>
                <w:rFonts w:asciiTheme="minorEastAsia" w:hAnsiTheme="minorEastAsia" w:eastAsiaTheme="minorEastAsia"/>
                <w:snapToGrid w:val="0"/>
                <w:color w:val="auto"/>
                <w:spacing w:val="-6"/>
                <w:kern w:val="21"/>
                <w:szCs w:val="21"/>
              </w:rPr>
            </w:pPr>
            <w:r>
              <w:rPr>
                <w:rFonts w:asciiTheme="minorEastAsia" w:hAnsiTheme="minorEastAsia" w:eastAsiaTheme="minorEastAsia"/>
                <w:snapToGrid w:val="0"/>
                <w:color w:val="auto"/>
                <w:spacing w:val="-6"/>
                <w:kern w:val="21"/>
                <w:szCs w:val="21"/>
              </w:rPr>
              <w:t>变化量</w:t>
            </w:r>
          </w:p>
          <w:p w14:paraId="663012C3">
            <w:pPr>
              <w:pStyle w:val="33"/>
              <w:spacing w:beforeLines="0" w:afterLines="0" w:line="240" w:lineRule="auto"/>
              <w:ind w:left="420" w:hanging="420"/>
              <w:rPr>
                <w:rFonts w:asciiTheme="minorEastAsia" w:hAnsiTheme="minorEastAsia" w:eastAsiaTheme="minorEastAsia"/>
                <w:snapToGrid w:val="0"/>
                <w:color w:val="auto"/>
                <w:spacing w:val="-6"/>
                <w:kern w:val="21"/>
                <w:szCs w:val="21"/>
              </w:rPr>
            </w:pPr>
            <w:r>
              <w:rPr>
                <w:rFonts w:asciiTheme="minorEastAsia" w:hAnsiTheme="minorEastAsia" w:eastAsiaTheme="minorEastAsia"/>
                <w:snapToGrid w:val="0"/>
                <w:color w:val="auto"/>
                <w:spacing w:val="-6"/>
                <w:kern w:val="21"/>
                <w:szCs w:val="21"/>
              </w:rPr>
              <w:fldChar w:fldCharType="begin"/>
            </w:r>
            <w:r>
              <w:rPr>
                <w:rFonts w:asciiTheme="minorEastAsia" w:hAnsiTheme="minorEastAsia" w:eastAsiaTheme="minorEastAsia"/>
                <w:snapToGrid w:val="0"/>
                <w:color w:val="auto"/>
                <w:spacing w:val="-6"/>
                <w:kern w:val="21"/>
                <w:szCs w:val="21"/>
              </w:rPr>
              <w:instrText xml:space="preserve"> = 7 \* GB3 \* MERGEFORMAT </w:instrText>
            </w:r>
            <w:r>
              <w:rPr>
                <w:rFonts w:asciiTheme="minorEastAsia" w:hAnsiTheme="minorEastAsia" w:eastAsiaTheme="minorEastAsia"/>
                <w:snapToGrid w:val="0"/>
                <w:color w:val="auto"/>
                <w:spacing w:val="-6"/>
                <w:kern w:val="21"/>
                <w:szCs w:val="21"/>
              </w:rPr>
              <w:fldChar w:fldCharType="separate"/>
            </w:r>
            <w:r>
              <w:rPr>
                <w:rFonts w:hint="eastAsia" w:cs="宋体" w:asciiTheme="minorEastAsia" w:hAnsiTheme="minorEastAsia" w:eastAsiaTheme="minorEastAsia"/>
                <w:color w:val="auto"/>
                <w:kern w:val="2"/>
                <w:szCs w:val="21"/>
              </w:rPr>
              <w:t>⑦</w:t>
            </w:r>
            <w:r>
              <w:rPr>
                <w:rFonts w:asciiTheme="minorEastAsia" w:hAnsiTheme="minorEastAsia" w:eastAsiaTheme="minorEastAsia"/>
                <w:snapToGrid w:val="0"/>
                <w:color w:val="auto"/>
                <w:spacing w:val="-6"/>
                <w:kern w:val="21"/>
                <w:szCs w:val="21"/>
              </w:rPr>
              <w:fldChar w:fldCharType="end"/>
            </w:r>
          </w:p>
        </w:tc>
      </w:tr>
      <w:tr w14:paraId="7A09AE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345" w:type="dxa"/>
            <w:vAlign w:val="center"/>
          </w:tcPr>
          <w:p w14:paraId="66CB2660">
            <w:pPr>
              <w:pStyle w:val="33"/>
              <w:spacing w:beforeLines="0" w:afterLines="0" w:line="240" w:lineRule="auto"/>
              <w:ind w:left="360" w:hanging="360"/>
              <w:rPr>
                <w:rFonts w:ascii="Times New Roman" w:eastAsiaTheme="minorEastAsia"/>
                <w:snapToGrid w:val="0"/>
                <w:color w:val="auto"/>
                <w:kern w:val="21"/>
                <w:sz w:val="18"/>
                <w:szCs w:val="18"/>
              </w:rPr>
            </w:pPr>
            <w:r>
              <w:rPr>
                <w:rFonts w:ascii="Times New Roman" w:hAnsiTheme="minorEastAsia" w:eastAsiaTheme="minorEastAsia"/>
                <w:snapToGrid w:val="0"/>
                <w:color w:val="auto"/>
                <w:kern w:val="21"/>
                <w:sz w:val="18"/>
                <w:szCs w:val="18"/>
              </w:rPr>
              <w:t>废气</w:t>
            </w:r>
          </w:p>
        </w:tc>
        <w:tc>
          <w:tcPr>
            <w:tcW w:w="1895" w:type="dxa"/>
            <w:vAlign w:val="center"/>
          </w:tcPr>
          <w:p w14:paraId="3C0A6F14">
            <w:pPr>
              <w:pStyle w:val="33"/>
              <w:spacing w:beforeLines="0" w:afterLines="0" w:line="240" w:lineRule="auto"/>
              <w:ind w:left="360" w:hanging="360"/>
              <w:rPr>
                <w:rFonts w:ascii="Times New Roman" w:eastAsiaTheme="minorEastAsia"/>
                <w:i/>
                <w:iCs/>
                <w:snapToGrid w:val="0"/>
                <w:color w:val="auto"/>
                <w:kern w:val="21"/>
                <w:sz w:val="18"/>
                <w:szCs w:val="18"/>
                <w:u w:val="single"/>
              </w:rPr>
            </w:pPr>
            <w:r>
              <w:rPr>
                <w:rFonts w:hint="eastAsia" w:ascii="Times New Roman" w:eastAsiaTheme="minorEastAsia"/>
                <w:i/>
                <w:iCs/>
                <w:snapToGrid w:val="0"/>
                <w:color w:val="auto"/>
                <w:kern w:val="21"/>
                <w:sz w:val="18"/>
                <w:szCs w:val="18"/>
                <w:u w:val="single"/>
              </w:rPr>
              <w:t>颗粒物</w:t>
            </w:r>
          </w:p>
        </w:tc>
        <w:tc>
          <w:tcPr>
            <w:tcW w:w="1466" w:type="dxa"/>
            <w:vAlign w:val="center"/>
          </w:tcPr>
          <w:p w14:paraId="58DF38A3">
            <w:pPr>
              <w:pStyle w:val="33"/>
              <w:spacing w:beforeLines="0" w:afterLines="0" w:line="240" w:lineRule="auto"/>
              <w:ind w:left="360" w:hanging="360"/>
              <w:rPr>
                <w:rFonts w:ascii="Times New Roman" w:eastAsiaTheme="minorEastAsia"/>
                <w:i/>
                <w:iCs/>
                <w:snapToGrid w:val="0"/>
                <w:color w:val="auto"/>
                <w:kern w:val="21"/>
                <w:sz w:val="18"/>
                <w:szCs w:val="18"/>
                <w:u w:val="single"/>
              </w:rPr>
            </w:pPr>
            <w:r>
              <w:rPr>
                <w:rFonts w:hint="eastAsia" w:ascii="Times New Roman" w:eastAsiaTheme="minorEastAsia"/>
                <w:i/>
                <w:iCs/>
                <w:snapToGrid w:val="0"/>
                <w:color w:val="auto"/>
                <w:kern w:val="21"/>
                <w:sz w:val="18"/>
                <w:szCs w:val="18"/>
                <w:u w:val="single"/>
              </w:rPr>
              <w:t>/</w:t>
            </w:r>
          </w:p>
        </w:tc>
        <w:tc>
          <w:tcPr>
            <w:tcW w:w="1276" w:type="dxa"/>
            <w:vAlign w:val="center"/>
          </w:tcPr>
          <w:p w14:paraId="72246D40">
            <w:pPr>
              <w:pStyle w:val="33"/>
              <w:spacing w:beforeLines="0" w:afterLines="0" w:line="240" w:lineRule="auto"/>
              <w:ind w:left="360" w:hanging="360"/>
              <w:rPr>
                <w:rFonts w:ascii="Times New Roman" w:eastAsiaTheme="minorEastAsia"/>
                <w:i/>
                <w:iCs/>
                <w:snapToGrid w:val="0"/>
                <w:color w:val="auto"/>
                <w:kern w:val="21"/>
                <w:sz w:val="18"/>
                <w:szCs w:val="18"/>
                <w:u w:val="single"/>
              </w:rPr>
            </w:pPr>
            <w:r>
              <w:rPr>
                <w:rFonts w:hint="eastAsia" w:ascii="Times New Roman" w:eastAsiaTheme="minorEastAsia"/>
                <w:i/>
                <w:iCs/>
                <w:snapToGrid w:val="0"/>
                <w:color w:val="auto"/>
                <w:kern w:val="21"/>
                <w:sz w:val="18"/>
                <w:szCs w:val="18"/>
                <w:u w:val="single"/>
              </w:rPr>
              <w:t>/</w:t>
            </w:r>
          </w:p>
        </w:tc>
        <w:tc>
          <w:tcPr>
            <w:tcW w:w="1701" w:type="dxa"/>
            <w:vAlign w:val="center"/>
          </w:tcPr>
          <w:p w14:paraId="679B201A">
            <w:pPr>
              <w:pStyle w:val="33"/>
              <w:spacing w:beforeLines="0" w:afterLines="0" w:line="240" w:lineRule="auto"/>
              <w:ind w:left="360" w:hanging="360"/>
              <w:rPr>
                <w:rFonts w:ascii="Times New Roman" w:eastAsiaTheme="minorEastAsia"/>
                <w:i/>
                <w:iCs/>
                <w:snapToGrid w:val="0"/>
                <w:color w:val="auto"/>
                <w:kern w:val="21"/>
                <w:sz w:val="18"/>
                <w:szCs w:val="18"/>
                <w:u w:val="single"/>
              </w:rPr>
            </w:pPr>
            <w:r>
              <w:rPr>
                <w:rFonts w:hint="eastAsia" w:ascii="Times New Roman" w:eastAsiaTheme="minorEastAsia"/>
                <w:i/>
                <w:iCs/>
                <w:snapToGrid w:val="0"/>
                <w:color w:val="auto"/>
                <w:kern w:val="21"/>
                <w:sz w:val="18"/>
                <w:szCs w:val="18"/>
                <w:u w:val="single"/>
              </w:rPr>
              <w:t>/</w:t>
            </w:r>
          </w:p>
        </w:tc>
        <w:tc>
          <w:tcPr>
            <w:tcW w:w="1559" w:type="dxa"/>
            <w:vAlign w:val="center"/>
          </w:tcPr>
          <w:p w14:paraId="63DA863E">
            <w:pPr>
              <w:pStyle w:val="33"/>
              <w:spacing w:beforeLines="0" w:afterLines="0" w:line="240" w:lineRule="auto"/>
              <w:ind w:left="360" w:hanging="360"/>
              <w:rPr>
                <w:rFonts w:ascii="Times New Roman" w:eastAsiaTheme="minorEastAsia"/>
                <w:i/>
                <w:iCs/>
                <w:snapToGrid w:val="0"/>
                <w:color w:val="auto"/>
                <w:kern w:val="21"/>
                <w:sz w:val="18"/>
                <w:szCs w:val="18"/>
                <w:u w:val="single"/>
              </w:rPr>
            </w:pPr>
            <w:r>
              <w:rPr>
                <w:rFonts w:hint="eastAsia" w:ascii="Times New Roman" w:eastAsiaTheme="minorEastAsia"/>
                <w:i/>
                <w:iCs/>
                <w:snapToGrid w:val="0"/>
                <w:color w:val="auto"/>
                <w:kern w:val="21"/>
                <w:sz w:val="18"/>
                <w:szCs w:val="18"/>
                <w:u w:val="single"/>
              </w:rPr>
              <w:t>5.1436</w:t>
            </w:r>
          </w:p>
        </w:tc>
        <w:tc>
          <w:tcPr>
            <w:tcW w:w="1761" w:type="dxa"/>
            <w:vAlign w:val="center"/>
          </w:tcPr>
          <w:p w14:paraId="22D03D77">
            <w:pPr>
              <w:pStyle w:val="33"/>
              <w:spacing w:beforeLines="0" w:afterLines="0" w:line="240" w:lineRule="auto"/>
              <w:ind w:left="360" w:hanging="360"/>
              <w:rPr>
                <w:rFonts w:ascii="Times New Roman" w:eastAsiaTheme="minorEastAsia"/>
                <w:i/>
                <w:iCs/>
                <w:snapToGrid w:val="0"/>
                <w:color w:val="auto"/>
                <w:kern w:val="21"/>
                <w:sz w:val="18"/>
                <w:szCs w:val="18"/>
                <w:u w:val="single"/>
              </w:rPr>
            </w:pPr>
            <w:r>
              <w:rPr>
                <w:rFonts w:hint="eastAsia" w:ascii="Times New Roman" w:eastAsiaTheme="minorEastAsia"/>
                <w:i/>
                <w:iCs/>
                <w:snapToGrid w:val="0"/>
                <w:color w:val="auto"/>
                <w:kern w:val="21"/>
                <w:sz w:val="18"/>
                <w:szCs w:val="18"/>
                <w:u w:val="single"/>
              </w:rPr>
              <w:t>/</w:t>
            </w:r>
          </w:p>
        </w:tc>
        <w:tc>
          <w:tcPr>
            <w:tcW w:w="1811" w:type="dxa"/>
            <w:vAlign w:val="center"/>
          </w:tcPr>
          <w:p w14:paraId="28C02134">
            <w:pPr>
              <w:pStyle w:val="33"/>
              <w:spacing w:beforeLines="0" w:afterLines="0" w:line="240" w:lineRule="auto"/>
              <w:ind w:left="360" w:hanging="360"/>
              <w:rPr>
                <w:rFonts w:ascii="Times New Roman" w:eastAsiaTheme="minorEastAsia"/>
                <w:i/>
                <w:iCs/>
                <w:snapToGrid w:val="0"/>
                <w:color w:val="auto"/>
                <w:kern w:val="21"/>
                <w:sz w:val="18"/>
                <w:szCs w:val="18"/>
                <w:u w:val="single"/>
              </w:rPr>
            </w:pPr>
            <w:r>
              <w:rPr>
                <w:rFonts w:hint="eastAsia" w:ascii="Times New Roman" w:eastAsiaTheme="minorEastAsia"/>
                <w:i/>
                <w:iCs/>
                <w:snapToGrid w:val="0"/>
                <w:color w:val="auto"/>
                <w:kern w:val="21"/>
                <w:sz w:val="18"/>
                <w:szCs w:val="18"/>
                <w:u w:val="single"/>
              </w:rPr>
              <w:t>5.1436</w:t>
            </w:r>
          </w:p>
        </w:tc>
        <w:tc>
          <w:tcPr>
            <w:tcW w:w="1106" w:type="dxa"/>
            <w:vAlign w:val="center"/>
          </w:tcPr>
          <w:p w14:paraId="48739C66">
            <w:pPr>
              <w:pStyle w:val="33"/>
              <w:spacing w:beforeLines="0" w:afterLines="0" w:line="240" w:lineRule="auto"/>
              <w:ind w:left="360" w:hanging="360"/>
              <w:rPr>
                <w:rFonts w:ascii="Times New Roman" w:eastAsiaTheme="minorEastAsia"/>
                <w:i/>
                <w:iCs/>
                <w:snapToGrid w:val="0"/>
                <w:color w:val="auto"/>
                <w:kern w:val="21"/>
                <w:sz w:val="18"/>
                <w:szCs w:val="18"/>
                <w:u w:val="single"/>
              </w:rPr>
            </w:pPr>
            <w:r>
              <w:rPr>
                <w:rFonts w:hint="eastAsia" w:ascii="Times New Roman" w:eastAsiaTheme="minorEastAsia"/>
                <w:i/>
                <w:iCs/>
                <w:snapToGrid w:val="0"/>
                <w:color w:val="auto"/>
                <w:kern w:val="21"/>
                <w:sz w:val="18"/>
                <w:szCs w:val="18"/>
                <w:u w:val="single"/>
              </w:rPr>
              <w:t>+5.1436</w:t>
            </w:r>
          </w:p>
        </w:tc>
      </w:tr>
      <w:tr w14:paraId="6A26B4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45" w:type="dxa"/>
            <w:vAlign w:val="center"/>
          </w:tcPr>
          <w:p w14:paraId="0A348B9F">
            <w:pPr>
              <w:pStyle w:val="33"/>
              <w:spacing w:beforeLines="0" w:afterLines="0" w:line="240" w:lineRule="auto"/>
              <w:ind w:left="360" w:hanging="360"/>
              <w:rPr>
                <w:rFonts w:ascii="Times New Roman" w:eastAsiaTheme="minorEastAsia"/>
                <w:snapToGrid w:val="0"/>
                <w:color w:val="auto"/>
                <w:kern w:val="21"/>
                <w:sz w:val="18"/>
                <w:szCs w:val="18"/>
              </w:rPr>
            </w:pPr>
            <w:r>
              <w:rPr>
                <w:rFonts w:ascii="Times New Roman" w:hAnsiTheme="minorEastAsia" w:eastAsiaTheme="minorEastAsia"/>
                <w:snapToGrid w:val="0"/>
                <w:color w:val="auto"/>
                <w:kern w:val="21"/>
                <w:sz w:val="18"/>
                <w:szCs w:val="18"/>
              </w:rPr>
              <w:t>废水</w:t>
            </w:r>
          </w:p>
        </w:tc>
        <w:tc>
          <w:tcPr>
            <w:tcW w:w="1895" w:type="dxa"/>
            <w:vAlign w:val="center"/>
          </w:tcPr>
          <w:p w14:paraId="68BCBECE">
            <w:pPr>
              <w:pStyle w:val="33"/>
              <w:spacing w:beforeLines="0" w:afterLines="0" w:line="240" w:lineRule="auto"/>
              <w:ind w:left="360" w:hanging="360"/>
              <w:rPr>
                <w:rFonts w:ascii="Times New Roman" w:hAnsiTheme="minorEastAsia" w:eastAsiaTheme="minorEastAsia"/>
                <w:i/>
                <w:iCs/>
                <w:snapToGrid w:val="0"/>
                <w:color w:val="auto"/>
                <w:kern w:val="21"/>
                <w:sz w:val="18"/>
                <w:szCs w:val="18"/>
                <w:u w:val="single"/>
              </w:rPr>
            </w:pPr>
            <w:r>
              <w:rPr>
                <w:rFonts w:hint="eastAsia" w:ascii="Times New Roman" w:hAnsiTheme="minorEastAsia" w:eastAsiaTheme="minorEastAsia"/>
                <w:i/>
                <w:iCs/>
                <w:snapToGrid w:val="0"/>
                <w:color w:val="auto"/>
                <w:kern w:val="21"/>
                <w:sz w:val="18"/>
                <w:szCs w:val="18"/>
                <w:u w:val="single"/>
              </w:rPr>
              <w:t>/</w:t>
            </w:r>
          </w:p>
        </w:tc>
        <w:tc>
          <w:tcPr>
            <w:tcW w:w="1466" w:type="dxa"/>
            <w:vAlign w:val="center"/>
          </w:tcPr>
          <w:p w14:paraId="483BDCF7">
            <w:pPr>
              <w:pStyle w:val="33"/>
              <w:spacing w:beforeLines="0" w:afterLines="0" w:line="240" w:lineRule="auto"/>
              <w:ind w:left="360" w:hanging="360"/>
              <w:rPr>
                <w:rFonts w:ascii="Times New Roman" w:eastAsiaTheme="minorEastAsia"/>
                <w:i/>
                <w:iCs/>
                <w:snapToGrid w:val="0"/>
                <w:color w:val="auto"/>
                <w:kern w:val="21"/>
                <w:sz w:val="18"/>
                <w:szCs w:val="18"/>
                <w:u w:val="single"/>
              </w:rPr>
            </w:pPr>
            <w:r>
              <w:rPr>
                <w:rFonts w:hint="eastAsia" w:ascii="Times New Roman" w:eastAsiaTheme="minorEastAsia"/>
                <w:i/>
                <w:iCs/>
                <w:snapToGrid w:val="0"/>
                <w:color w:val="auto"/>
                <w:kern w:val="21"/>
                <w:sz w:val="18"/>
                <w:szCs w:val="18"/>
                <w:u w:val="single"/>
              </w:rPr>
              <w:t>/</w:t>
            </w:r>
          </w:p>
        </w:tc>
        <w:tc>
          <w:tcPr>
            <w:tcW w:w="1276" w:type="dxa"/>
            <w:vAlign w:val="center"/>
          </w:tcPr>
          <w:p w14:paraId="33D643D4">
            <w:pPr>
              <w:pStyle w:val="33"/>
              <w:spacing w:beforeLines="0" w:afterLines="0" w:line="240" w:lineRule="auto"/>
              <w:ind w:left="360" w:hanging="360"/>
              <w:rPr>
                <w:rFonts w:ascii="Times New Roman" w:eastAsiaTheme="minorEastAsia"/>
                <w:i/>
                <w:iCs/>
                <w:snapToGrid w:val="0"/>
                <w:color w:val="auto"/>
                <w:kern w:val="21"/>
                <w:sz w:val="18"/>
                <w:szCs w:val="18"/>
                <w:u w:val="single"/>
              </w:rPr>
            </w:pPr>
            <w:r>
              <w:rPr>
                <w:rFonts w:hint="eastAsia" w:ascii="Times New Roman" w:eastAsiaTheme="minorEastAsia"/>
                <w:i/>
                <w:iCs/>
                <w:snapToGrid w:val="0"/>
                <w:color w:val="auto"/>
                <w:kern w:val="21"/>
                <w:sz w:val="18"/>
                <w:szCs w:val="18"/>
                <w:u w:val="single"/>
              </w:rPr>
              <w:t>/</w:t>
            </w:r>
          </w:p>
        </w:tc>
        <w:tc>
          <w:tcPr>
            <w:tcW w:w="1701" w:type="dxa"/>
            <w:vAlign w:val="center"/>
          </w:tcPr>
          <w:p w14:paraId="428D5BAF">
            <w:pPr>
              <w:pStyle w:val="33"/>
              <w:spacing w:beforeLines="0" w:afterLines="0" w:line="240" w:lineRule="auto"/>
              <w:ind w:left="360" w:hanging="360"/>
              <w:rPr>
                <w:rFonts w:ascii="Times New Roman" w:eastAsiaTheme="minorEastAsia"/>
                <w:i/>
                <w:iCs/>
                <w:snapToGrid w:val="0"/>
                <w:color w:val="auto"/>
                <w:kern w:val="21"/>
                <w:sz w:val="18"/>
                <w:szCs w:val="18"/>
                <w:u w:val="single"/>
              </w:rPr>
            </w:pPr>
            <w:r>
              <w:rPr>
                <w:rFonts w:hint="eastAsia" w:ascii="Times New Roman" w:eastAsiaTheme="minorEastAsia"/>
                <w:i/>
                <w:iCs/>
                <w:snapToGrid w:val="0"/>
                <w:color w:val="auto"/>
                <w:kern w:val="21"/>
                <w:sz w:val="18"/>
                <w:szCs w:val="18"/>
                <w:u w:val="single"/>
              </w:rPr>
              <w:t>/</w:t>
            </w:r>
          </w:p>
        </w:tc>
        <w:tc>
          <w:tcPr>
            <w:tcW w:w="1559" w:type="dxa"/>
            <w:vAlign w:val="center"/>
          </w:tcPr>
          <w:p w14:paraId="292FA63E">
            <w:pPr>
              <w:widowControl/>
              <w:jc w:val="center"/>
              <w:textAlignment w:val="center"/>
              <w:rPr>
                <w:rFonts w:eastAsiaTheme="minorEastAsia"/>
                <w:i/>
                <w:iCs/>
                <w:snapToGrid w:val="0"/>
                <w:color w:val="auto"/>
                <w:kern w:val="21"/>
                <w:sz w:val="18"/>
                <w:szCs w:val="18"/>
                <w:u w:val="single"/>
              </w:rPr>
            </w:pPr>
            <w:r>
              <w:rPr>
                <w:rFonts w:hint="eastAsia" w:eastAsiaTheme="minorEastAsia"/>
                <w:i/>
                <w:iCs/>
                <w:snapToGrid w:val="0"/>
                <w:color w:val="auto"/>
                <w:kern w:val="21"/>
                <w:sz w:val="18"/>
                <w:szCs w:val="18"/>
                <w:u w:val="single"/>
              </w:rPr>
              <w:t>/</w:t>
            </w:r>
          </w:p>
        </w:tc>
        <w:tc>
          <w:tcPr>
            <w:tcW w:w="1761" w:type="dxa"/>
            <w:vAlign w:val="center"/>
          </w:tcPr>
          <w:p w14:paraId="39523C60">
            <w:pPr>
              <w:pStyle w:val="33"/>
              <w:spacing w:beforeLines="0" w:afterLines="0" w:line="240" w:lineRule="auto"/>
              <w:ind w:left="360" w:hanging="360"/>
              <w:rPr>
                <w:rFonts w:ascii="Times New Roman" w:eastAsiaTheme="minorEastAsia"/>
                <w:i/>
                <w:iCs/>
                <w:snapToGrid w:val="0"/>
                <w:color w:val="auto"/>
                <w:kern w:val="21"/>
                <w:sz w:val="18"/>
                <w:szCs w:val="18"/>
                <w:u w:val="single"/>
              </w:rPr>
            </w:pPr>
            <w:r>
              <w:rPr>
                <w:rFonts w:hint="eastAsia" w:ascii="Times New Roman" w:eastAsiaTheme="minorEastAsia"/>
                <w:i/>
                <w:iCs/>
                <w:snapToGrid w:val="0"/>
                <w:color w:val="auto"/>
                <w:kern w:val="21"/>
                <w:sz w:val="18"/>
                <w:szCs w:val="18"/>
                <w:u w:val="single"/>
              </w:rPr>
              <w:t>/</w:t>
            </w:r>
          </w:p>
        </w:tc>
        <w:tc>
          <w:tcPr>
            <w:tcW w:w="1811" w:type="dxa"/>
            <w:vAlign w:val="center"/>
          </w:tcPr>
          <w:p w14:paraId="06FA6D6A">
            <w:pPr>
              <w:widowControl/>
              <w:jc w:val="center"/>
              <w:textAlignment w:val="center"/>
              <w:rPr>
                <w:rFonts w:eastAsiaTheme="minorEastAsia"/>
                <w:i/>
                <w:iCs/>
                <w:snapToGrid w:val="0"/>
                <w:color w:val="auto"/>
                <w:kern w:val="21"/>
                <w:sz w:val="18"/>
                <w:szCs w:val="18"/>
                <w:u w:val="single"/>
              </w:rPr>
            </w:pPr>
            <w:r>
              <w:rPr>
                <w:rFonts w:hint="eastAsia" w:eastAsiaTheme="minorEastAsia"/>
                <w:i/>
                <w:iCs/>
                <w:snapToGrid w:val="0"/>
                <w:color w:val="auto"/>
                <w:kern w:val="21"/>
                <w:sz w:val="18"/>
                <w:szCs w:val="18"/>
                <w:u w:val="single"/>
              </w:rPr>
              <w:t>/</w:t>
            </w:r>
          </w:p>
        </w:tc>
        <w:tc>
          <w:tcPr>
            <w:tcW w:w="1106" w:type="dxa"/>
            <w:vAlign w:val="center"/>
          </w:tcPr>
          <w:p w14:paraId="0052DF88">
            <w:pPr>
              <w:widowControl/>
              <w:jc w:val="center"/>
              <w:textAlignment w:val="center"/>
              <w:rPr>
                <w:rFonts w:eastAsiaTheme="minorEastAsia"/>
                <w:i/>
                <w:iCs/>
                <w:snapToGrid w:val="0"/>
                <w:color w:val="auto"/>
                <w:kern w:val="21"/>
                <w:sz w:val="18"/>
                <w:szCs w:val="18"/>
                <w:u w:val="single"/>
              </w:rPr>
            </w:pPr>
            <w:r>
              <w:rPr>
                <w:rFonts w:hint="eastAsia" w:eastAsiaTheme="minorEastAsia"/>
                <w:i/>
                <w:iCs/>
                <w:snapToGrid w:val="0"/>
                <w:color w:val="auto"/>
                <w:kern w:val="21"/>
                <w:sz w:val="18"/>
                <w:szCs w:val="18"/>
                <w:u w:val="single"/>
              </w:rPr>
              <w:t>/</w:t>
            </w:r>
          </w:p>
        </w:tc>
      </w:tr>
      <w:tr w14:paraId="1A3C49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45" w:type="dxa"/>
            <w:vMerge w:val="restart"/>
            <w:tcBorders>
              <w:top w:val="single" w:color="auto" w:sz="4" w:space="0"/>
            </w:tcBorders>
            <w:vAlign w:val="center"/>
          </w:tcPr>
          <w:p w14:paraId="37CCB225">
            <w:pPr>
              <w:pStyle w:val="33"/>
              <w:spacing w:beforeLines="0" w:afterLines="0" w:line="240" w:lineRule="auto"/>
              <w:ind w:left="360" w:hanging="360"/>
              <w:rPr>
                <w:rFonts w:ascii="Times New Roman" w:eastAsiaTheme="minorEastAsia"/>
                <w:snapToGrid w:val="0"/>
                <w:color w:val="auto"/>
                <w:kern w:val="21"/>
                <w:sz w:val="18"/>
                <w:szCs w:val="18"/>
              </w:rPr>
            </w:pPr>
            <w:r>
              <w:rPr>
                <w:rFonts w:ascii="Times New Roman" w:hAnsiTheme="minorEastAsia" w:eastAsiaTheme="minorEastAsia"/>
                <w:snapToGrid w:val="0"/>
                <w:color w:val="auto"/>
                <w:kern w:val="21"/>
                <w:sz w:val="18"/>
                <w:szCs w:val="18"/>
              </w:rPr>
              <w:t>一般工业</w:t>
            </w:r>
          </w:p>
          <w:p w14:paraId="307D87D0">
            <w:pPr>
              <w:pStyle w:val="33"/>
              <w:spacing w:beforeLines="0" w:afterLines="0" w:line="240" w:lineRule="auto"/>
              <w:ind w:left="360" w:hanging="360"/>
              <w:rPr>
                <w:rFonts w:ascii="Times New Roman" w:eastAsiaTheme="minorEastAsia"/>
                <w:snapToGrid w:val="0"/>
                <w:color w:val="auto"/>
                <w:kern w:val="21"/>
                <w:sz w:val="18"/>
                <w:szCs w:val="18"/>
              </w:rPr>
            </w:pPr>
            <w:r>
              <w:rPr>
                <w:rFonts w:ascii="Times New Roman" w:hAnsiTheme="minorEastAsia" w:eastAsiaTheme="minorEastAsia"/>
                <w:snapToGrid w:val="0"/>
                <w:color w:val="auto"/>
                <w:kern w:val="21"/>
                <w:sz w:val="18"/>
                <w:szCs w:val="18"/>
              </w:rPr>
              <w:t>固体废物</w:t>
            </w:r>
          </w:p>
        </w:tc>
        <w:tc>
          <w:tcPr>
            <w:tcW w:w="1895" w:type="dxa"/>
          </w:tcPr>
          <w:p w14:paraId="7056BDF2">
            <w:pPr>
              <w:pStyle w:val="33"/>
              <w:spacing w:beforeLines="0" w:afterLines="0" w:line="240" w:lineRule="auto"/>
              <w:ind w:left="360" w:hanging="360"/>
              <w:rPr>
                <w:rFonts w:ascii="Times New Roman"/>
                <w:i/>
                <w:iCs/>
                <w:color w:val="auto"/>
                <w:sz w:val="18"/>
                <w:szCs w:val="18"/>
                <w:u w:val="single"/>
              </w:rPr>
            </w:pPr>
            <w:r>
              <w:rPr>
                <w:rFonts w:hint="eastAsia" w:ascii="Times New Roman"/>
                <w:i/>
                <w:iCs/>
                <w:color w:val="auto"/>
                <w:sz w:val="18"/>
                <w:szCs w:val="18"/>
                <w:u w:val="single"/>
              </w:rPr>
              <w:t>生活垃圾</w:t>
            </w:r>
          </w:p>
        </w:tc>
        <w:tc>
          <w:tcPr>
            <w:tcW w:w="1466" w:type="dxa"/>
            <w:vAlign w:val="center"/>
          </w:tcPr>
          <w:p w14:paraId="15583911">
            <w:pPr>
              <w:pStyle w:val="33"/>
              <w:spacing w:beforeLines="0" w:afterLines="0" w:line="240" w:lineRule="auto"/>
              <w:ind w:left="360" w:hanging="360"/>
              <w:rPr>
                <w:rFonts w:ascii="Times New Roman" w:eastAsiaTheme="minorEastAsia"/>
                <w:i/>
                <w:iCs/>
                <w:snapToGrid w:val="0"/>
                <w:color w:val="auto"/>
                <w:kern w:val="21"/>
                <w:sz w:val="18"/>
                <w:szCs w:val="18"/>
                <w:u w:val="single"/>
              </w:rPr>
            </w:pPr>
            <w:r>
              <w:rPr>
                <w:rFonts w:ascii="Times New Roman" w:eastAsiaTheme="minorEastAsia"/>
                <w:i/>
                <w:iCs/>
                <w:snapToGrid w:val="0"/>
                <w:color w:val="auto"/>
                <w:kern w:val="21"/>
                <w:sz w:val="18"/>
                <w:szCs w:val="18"/>
                <w:u w:val="single"/>
              </w:rPr>
              <w:t>/</w:t>
            </w:r>
          </w:p>
        </w:tc>
        <w:tc>
          <w:tcPr>
            <w:tcW w:w="1276" w:type="dxa"/>
            <w:vAlign w:val="center"/>
          </w:tcPr>
          <w:p w14:paraId="34AB9563">
            <w:pPr>
              <w:pStyle w:val="33"/>
              <w:spacing w:beforeLines="0" w:afterLines="0" w:line="240" w:lineRule="auto"/>
              <w:ind w:left="360" w:hanging="360"/>
              <w:rPr>
                <w:rFonts w:ascii="Times New Roman" w:eastAsiaTheme="minorEastAsia"/>
                <w:i/>
                <w:iCs/>
                <w:snapToGrid w:val="0"/>
                <w:color w:val="auto"/>
                <w:kern w:val="21"/>
                <w:sz w:val="18"/>
                <w:szCs w:val="18"/>
                <w:u w:val="single"/>
              </w:rPr>
            </w:pPr>
            <w:r>
              <w:rPr>
                <w:rFonts w:ascii="Times New Roman" w:eastAsiaTheme="minorEastAsia"/>
                <w:i/>
                <w:iCs/>
                <w:snapToGrid w:val="0"/>
                <w:color w:val="auto"/>
                <w:kern w:val="21"/>
                <w:sz w:val="18"/>
                <w:szCs w:val="18"/>
                <w:u w:val="single"/>
              </w:rPr>
              <w:t>/</w:t>
            </w:r>
          </w:p>
        </w:tc>
        <w:tc>
          <w:tcPr>
            <w:tcW w:w="1701" w:type="dxa"/>
            <w:vAlign w:val="center"/>
          </w:tcPr>
          <w:p w14:paraId="38DD53BC">
            <w:pPr>
              <w:pStyle w:val="33"/>
              <w:spacing w:beforeLines="0" w:afterLines="0" w:line="240" w:lineRule="auto"/>
              <w:ind w:left="360" w:hanging="360"/>
              <w:rPr>
                <w:rFonts w:ascii="Times New Roman" w:eastAsiaTheme="minorEastAsia"/>
                <w:i/>
                <w:iCs/>
                <w:snapToGrid w:val="0"/>
                <w:color w:val="auto"/>
                <w:kern w:val="21"/>
                <w:sz w:val="18"/>
                <w:szCs w:val="18"/>
                <w:u w:val="single"/>
              </w:rPr>
            </w:pPr>
            <w:r>
              <w:rPr>
                <w:rFonts w:ascii="Times New Roman" w:eastAsiaTheme="minorEastAsia"/>
                <w:i/>
                <w:iCs/>
                <w:snapToGrid w:val="0"/>
                <w:color w:val="auto"/>
                <w:kern w:val="21"/>
                <w:sz w:val="18"/>
                <w:szCs w:val="18"/>
                <w:u w:val="single"/>
              </w:rPr>
              <w:t>/</w:t>
            </w:r>
          </w:p>
        </w:tc>
        <w:tc>
          <w:tcPr>
            <w:tcW w:w="1559" w:type="dxa"/>
            <w:vAlign w:val="center"/>
          </w:tcPr>
          <w:p w14:paraId="68B2232E">
            <w:pPr>
              <w:pStyle w:val="33"/>
              <w:spacing w:beforeLines="0" w:afterLines="0" w:line="240" w:lineRule="auto"/>
              <w:ind w:left="360" w:hanging="360"/>
              <w:rPr>
                <w:rFonts w:ascii="Times New Roman" w:eastAsiaTheme="minorEastAsia"/>
                <w:i/>
                <w:iCs/>
                <w:snapToGrid w:val="0"/>
                <w:color w:val="auto"/>
                <w:kern w:val="21"/>
                <w:sz w:val="18"/>
                <w:szCs w:val="18"/>
                <w:u w:val="single"/>
              </w:rPr>
            </w:pPr>
            <w:r>
              <w:rPr>
                <w:rFonts w:hint="eastAsia" w:ascii="Times New Roman" w:eastAsiaTheme="minorEastAsia"/>
                <w:i/>
                <w:iCs/>
                <w:snapToGrid w:val="0"/>
                <w:color w:val="auto"/>
                <w:kern w:val="21"/>
                <w:sz w:val="18"/>
                <w:szCs w:val="18"/>
                <w:u w:val="single"/>
              </w:rPr>
              <w:t>1.0</w:t>
            </w:r>
          </w:p>
        </w:tc>
        <w:tc>
          <w:tcPr>
            <w:tcW w:w="1761" w:type="dxa"/>
            <w:vAlign w:val="center"/>
          </w:tcPr>
          <w:p w14:paraId="38EDA450">
            <w:pPr>
              <w:pStyle w:val="33"/>
              <w:spacing w:beforeLines="0" w:afterLines="0" w:line="240" w:lineRule="auto"/>
              <w:ind w:left="360" w:hanging="360"/>
              <w:rPr>
                <w:rFonts w:ascii="Times New Roman" w:eastAsiaTheme="minorEastAsia"/>
                <w:i/>
                <w:iCs/>
                <w:snapToGrid w:val="0"/>
                <w:color w:val="auto"/>
                <w:kern w:val="21"/>
                <w:sz w:val="18"/>
                <w:szCs w:val="18"/>
                <w:u w:val="single"/>
              </w:rPr>
            </w:pPr>
            <w:r>
              <w:rPr>
                <w:rFonts w:hint="eastAsia" w:ascii="Times New Roman" w:eastAsiaTheme="minorEastAsia"/>
                <w:i/>
                <w:iCs/>
                <w:snapToGrid w:val="0"/>
                <w:color w:val="auto"/>
                <w:kern w:val="21"/>
                <w:sz w:val="18"/>
                <w:szCs w:val="18"/>
                <w:u w:val="single"/>
              </w:rPr>
              <w:t>/</w:t>
            </w:r>
          </w:p>
        </w:tc>
        <w:tc>
          <w:tcPr>
            <w:tcW w:w="1811" w:type="dxa"/>
            <w:shd w:val="clear" w:color="auto" w:fill="auto"/>
            <w:vAlign w:val="center"/>
          </w:tcPr>
          <w:p w14:paraId="64C42903">
            <w:pPr>
              <w:pStyle w:val="33"/>
              <w:spacing w:beforeLines="0" w:afterLines="0" w:line="240" w:lineRule="auto"/>
              <w:ind w:left="360" w:hanging="360"/>
              <w:rPr>
                <w:rFonts w:ascii="Times New Roman" w:eastAsiaTheme="minorEastAsia"/>
                <w:i/>
                <w:iCs/>
                <w:snapToGrid w:val="0"/>
                <w:color w:val="auto"/>
                <w:kern w:val="21"/>
                <w:sz w:val="18"/>
                <w:szCs w:val="18"/>
                <w:u w:val="single"/>
              </w:rPr>
            </w:pPr>
            <w:r>
              <w:rPr>
                <w:rFonts w:hint="eastAsia" w:ascii="Times New Roman" w:eastAsiaTheme="minorEastAsia"/>
                <w:i/>
                <w:iCs/>
                <w:snapToGrid w:val="0"/>
                <w:color w:val="auto"/>
                <w:kern w:val="21"/>
                <w:sz w:val="18"/>
                <w:szCs w:val="18"/>
                <w:u w:val="single"/>
              </w:rPr>
              <w:t>1.0</w:t>
            </w:r>
          </w:p>
        </w:tc>
        <w:tc>
          <w:tcPr>
            <w:tcW w:w="1106" w:type="dxa"/>
            <w:shd w:val="clear" w:color="auto" w:fill="auto"/>
            <w:vAlign w:val="center"/>
          </w:tcPr>
          <w:p w14:paraId="588B4263">
            <w:pPr>
              <w:pStyle w:val="33"/>
              <w:spacing w:beforeLines="0" w:afterLines="0" w:line="240" w:lineRule="auto"/>
              <w:ind w:left="360" w:hanging="360"/>
              <w:rPr>
                <w:rFonts w:ascii="Times New Roman" w:eastAsiaTheme="minorEastAsia"/>
                <w:i/>
                <w:iCs/>
                <w:snapToGrid w:val="0"/>
                <w:color w:val="auto"/>
                <w:kern w:val="21"/>
                <w:sz w:val="18"/>
                <w:szCs w:val="18"/>
                <w:u w:val="single"/>
              </w:rPr>
            </w:pPr>
            <w:r>
              <w:rPr>
                <w:rFonts w:hint="eastAsia" w:ascii="Times New Roman" w:eastAsiaTheme="minorEastAsia"/>
                <w:i/>
                <w:iCs/>
                <w:snapToGrid w:val="0"/>
                <w:color w:val="auto"/>
                <w:kern w:val="21"/>
                <w:sz w:val="18"/>
                <w:szCs w:val="18"/>
                <w:u w:val="single"/>
              </w:rPr>
              <w:t>+1.0</w:t>
            </w:r>
          </w:p>
        </w:tc>
      </w:tr>
      <w:tr w14:paraId="4E72AA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45" w:type="dxa"/>
            <w:vMerge w:val="continue"/>
            <w:vAlign w:val="center"/>
          </w:tcPr>
          <w:p w14:paraId="43F7D116">
            <w:pPr>
              <w:pStyle w:val="33"/>
              <w:spacing w:beforeLines="0" w:afterLines="0" w:line="240" w:lineRule="auto"/>
              <w:ind w:left="360" w:hanging="360"/>
              <w:rPr>
                <w:rFonts w:ascii="Times New Roman" w:hAnsiTheme="minorEastAsia" w:eastAsiaTheme="minorEastAsia"/>
                <w:snapToGrid w:val="0"/>
                <w:color w:val="auto"/>
                <w:kern w:val="21"/>
                <w:sz w:val="18"/>
                <w:szCs w:val="18"/>
              </w:rPr>
            </w:pPr>
          </w:p>
        </w:tc>
        <w:tc>
          <w:tcPr>
            <w:tcW w:w="1895" w:type="dxa"/>
          </w:tcPr>
          <w:p w14:paraId="2584AE05">
            <w:pPr>
              <w:pStyle w:val="33"/>
              <w:spacing w:beforeLines="0" w:afterLines="0" w:line="240" w:lineRule="auto"/>
              <w:ind w:left="360" w:hanging="360"/>
              <w:rPr>
                <w:rFonts w:ascii="Times New Roman"/>
                <w:i/>
                <w:iCs/>
                <w:color w:val="auto"/>
                <w:sz w:val="18"/>
                <w:szCs w:val="18"/>
                <w:u w:val="single"/>
              </w:rPr>
            </w:pPr>
            <w:r>
              <w:rPr>
                <w:rFonts w:hint="eastAsia" w:ascii="Times New Roman"/>
                <w:i/>
                <w:iCs/>
                <w:color w:val="auto"/>
                <w:sz w:val="18"/>
                <w:szCs w:val="18"/>
                <w:u w:val="single"/>
              </w:rPr>
              <w:t>布袋除尘灰</w:t>
            </w:r>
          </w:p>
        </w:tc>
        <w:tc>
          <w:tcPr>
            <w:tcW w:w="1466" w:type="dxa"/>
            <w:vAlign w:val="center"/>
          </w:tcPr>
          <w:p w14:paraId="76394E35">
            <w:pPr>
              <w:pStyle w:val="33"/>
              <w:spacing w:beforeLines="0" w:afterLines="0" w:line="240" w:lineRule="auto"/>
              <w:ind w:left="360" w:hanging="360"/>
              <w:rPr>
                <w:rFonts w:ascii="Times New Roman" w:eastAsiaTheme="minorEastAsia"/>
                <w:i/>
                <w:iCs/>
                <w:snapToGrid w:val="0"/>
                <w:color w:val="auto"/>
                <w:kern w:val="21"/>
                <w:sz w:val="18"/>
                <w:szCs w:val="18"/>
                <w:u w:val="single"/>
              </w:rPr>
            </w:pPr>
            <w:r>
              <w:rPr>
                <w:rFonts w:hint="eastAsia" w:ascii="Times New Roman" w:eastAsiaTheme="minorEastAsia"/>
                <w:i/>
                <w:iCs/>
                <w:snapToGrid w:val="0"/>
                <w:color w:val="auto"/>
                <w:kern w:val="21"/>
                <w:sz w:val="18"/>
                <w:szCs w:val="18"/>
                <w:u w:val="single"/>
              </w:rPr>
              <w:t>/</w:t>
            </w:r>
          </w:p>
        </w:tc>
        <w:tc>
          <w:tcPr>
            <w:tcW w:w="1276" w:type="dxa"/>
            <w:vAlign w:val="center"/>
          </w:tcPr>
          <w:p w14:paraId="56680FDC">
            <w:pPr>
              <w:pStyle w:val="33"/>
              <w:spacing w:beforeLines="0" w:afterLines="0" w:line="240" w:lineRule="auto"/>
              <w:ind w:left="360" w:hanging="360"/>
              <w:rPr>
                <w:rFonts w:ascii="Times New Roman" w:eastAsiaTheme="minorEastAsia"/>
                <w:i/>
                <w:iCs/>
                <w:snapToGrid w:val="0"/>
                <w:color w:val="auto"/>
                <w:kern w:val="21"/>
                <w:sz w:val="18"/>
                <w:szCs w:val="18"/>
                <w:u w:val="single"/>
              </w:rPr>
            </w:pPr>
            <w:r>
              <w:rPr>
                <w:rFonts w:hint="eastAsia" w:ascii="Times New Roman" w:eastAsiaTheme="minorEastAsia"/>
                <w:i/>
                <w:iCs/>
                <w:snapToGrid w:val="0"/>
                <w:color w:val="auto"/>
                <w:kern w:val="21"/>
                <w:sz w:val="18"/>
                <w:szCs w:val="18"/>
                <w:u w:val="single"/>
              </w:rPr>
              <w:t>/</w:t>
            </w:r>
          </w:p>
        </w:tc>
        <w:tc>
          <w:tcPr>
            <w:tcW w:w="1701" w:type="dxa"/>
            <w:vAlign w:val="center"/>
          </w:tcPr>
          <w:p w14:paraId="33A26103">
            <w:pPr>
              <w:pStyle w:val="33"/>
              <w:spacing w:beforeLines="0" w:afterLines="0" w:line="240" w:lineRule="auto"/>
              <w:ind w:left="360" w:hanging="360"/>
              <w:rPr>
                <w:rFonts w:ascii="Times New Roman" w:eastAsiaTheme="minorEastAsia"/>
                <w:i/>
                <w:iCs/>
                <w:snapToGrid w:val="0"/>
                <w:color w:val="auto"/>
                <w:kern w:val="21"/>
                <w:sz w:val="18"/>
                <w:szCs w:val="18"/>
                <w:u w:val="single"/>
              </w:rPr>
            </w:pPr>
            <w:r>
              <w:rPr>
                <w:rFonts w:hint="eastAsia" w:ascii="Times New Roman" w:eastAsiaTheme="minorEastAsia"/>
                <w:i/>
                <w:iCs/>
                <w:snapToGrid w:val="0"/>
                <w:color w:val="auto"/>
                <w:kern w:val="21"/>
                <w:sz w:val="18"/>
                <w:szCs w:val="18"/>
                <w:u w:val="single"/>
              </w:rPr>
              <w:t>/</w:t>
            </w:r>
          </w:p>
        </w:tc>
        <w:tc>
          <w:tcPr>
            <w:tcW w:w="1559" w:type="dxa"/>
            <w:vAlign w:val="center"/>
          </w:tcPr>
          <w:p w14:paraId="7B64F955">
            <w:pPr>
              <w:pStyle w:val="33"/>
              <w:spacing w:beforeLines="0" w:afterLines="0" w:line="240" w:lineRule="auto"/>
              <w:ind w:left="360" w:hanging="360"/>
              <w:rPr>
                <w:rFonts w:ascii="Times New Roman" w:eastAsiaTheme="minorEastAsia"/>
                <w:i/>
                <w:iCs/>
                <w:snapToGrid w:val="0"/>
                <w:color w:val="auto"/>
                <w:kern w:val="21"/>
                <w:sz w:val="18"/>
                <w:szCs w:val="18"/>
                <w:u w:val="single"/>
              </w:rPr>
            </w:pPr>
            <w:r>
              <w:rPr>
                <w:rFonts w:hint="eastAsia" w:ascii="Times New Roman" w:eastAsiaTheme="minorEastAsia"/>
                <w:i/>
                <w:iCs/>
                <w:snapToGrid w:val="0"/>
                <w:color w:val="auto"/>
                <w:kern w:val="21"/>
                <w:sz w:val="18"/>
                <w:szCs w:val="18"/>
                <w:u w:val="single"/>
              </w:rPr>
              <w:t>68.0170</w:t>
            </w:r>
          </w:p>
        </w:tc>
        <w:tc>
          <w:tcPr>
            <w:tcW w:w="1761" w:type="dxa"/>
            <w:vAlign w:val="center"/>
          </w:tcPr>
          <w:p w14:paraId="574C39ED">
            <w:pPr>
              <w:pStyle w:val="33"/>
              <w:spacing w:beforeLines="0" w:afterLines="0" w:line="240" w:lineRule="auto"/>
              <w:ind w:left="360" w:hanging="360"/>
              <w:rPr>
                <w:rFonts w:ascii="Times New Roman" w:eastAsiaTheme="minorEastAsia"/>
                <w:i/>
                <w:iCs/>
                <w:snapToGrid w:val="0"/>
                <w:color w:val="auto"/>
                <w:kern w:val="21"/>
                <w:sz w:val="18"/>
                <w:szCs w:val="18"/>
                <w:u w:val="single"/>
              </w:rPr>
            </w:pPr>
          </w:p>
        </w:tc>
        <w:tc>
          <w:tcPr>
            <w:tcW w:w="1811" w:type="dxa"/>
            <w:shd w:val="clear" w:color="auto" w:fill="auto"/>
            <w:vAlign w:val="center"/>
          </w:tcPr>
          <w:p w14:paraId="0E7FBE04">
            <w:pPr>
              <w:pStyle w:val="33"/>
              <w:spacing w:beforeLines="0" w:afterLines="0" w:line="240" w:lineRule="auto"/>
              <w:ind w:left="360" w:hanging="360"/>
              <w:rPr>
                <w:rFonts w:ascii="Times New Roman" w:eastAsiaTheme="minorEastAsia"/>
                <w:i/>
                <w:iCs/>
                <w:snapToGrid w:val="0"/>
                <w:color w:val="auto"/>
                <w:kern w:val="21"/>
                <w:sz w:val="18"/>
                <w:szCs w:val="18"/>
                <w:u w:val="single"/>
              </w:rPr>
            </w:pPr>
            <w:r>
              <w:rPr>
                <w:rFonts w:hint="eastAsia" w:ascii="Times New Roman" w:eastAsiaTheme="minorEastAsia"/>
                <w:i/>
                <w:iCs/>
                <w:snapToGrid w:val="0"/>
                <w:color w:val="auto"/>
                <w:kern w:val="21"/>
                <w:sz w:val="18"/>
                <w:szCs w:val="18"/>
                <w:u w:val="single"/>
              </w:rPr>
              <w:t>68.0170</w:t>
            </w:r>
          </w:p>
        </w:tc>
        <w:tc>
          <w:tcPr>
            <w:tcW w:w="1106" w:type="dxa"/>
            <w:shd w:val="clear" w:color="auto" w:fill="auto"/>
            <w:vAlign w:val="center"/>
          </w:tcPr>
          <w:p w14:paraId="4DE93412">
            <w:pPr>
              <w:pStyle w:val="33"/>
              <w:spacing w:beforeLines="0" w:afterLines="0" w:line="240" w:lineRule="auto"/>
              <w:ind w:left="360" w:hanging="360"/>
              <w:rPr>
                <w:rFonts w:ascii="Times New Roman" w:eastAsiaTheme="minorEastAsia"/>
                <w:i/>
                <w:iCs/>
                <w:snapToGrid w:val="0"/>
                <w:color w:val="auto"/>
                <w:kern w:val="21"/>
                <w:sz w:val="18"/>
                <w:szCs w:val="18"/>
                <w:u w:val="single"/>
              </w:rPr>
            </w:pPr>
            <w:r>
              <w:rPr>
                <w:rFonts w:hint="eastAsia" w:ascii="Times New Roman" w:eastAsiaTheme="minorEastAsia"/>
                <w:i/>
                <w:iCs/>
                <w:snapToGrid w:val="0"/>
                <w:color w:val="auto"/>
                <w:kern w:val="21"/>
                <w:sz w:val="18"/>
                <w:szCs w:val="18"/>
                <w:u w:val="single"/>
              </w:rPr>
              <w:t>68.0170</w:t>
            </w:r>
          </w:p>
        </w:tc>
      </w:tr>
      <w:tr w14:paraId="68F8DE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45" w:type="dxa"/>
            <w:vMerge w:val="continue"/>
            <w:vAlign w:val="center"/>
          </w:tcPr>
          <w:p w14:paraId="2BC67831">
            <w:pPr>
              <w:pStyle w:val="33"/>
              <w:spacing w:beforeLines="0" w:afterLines="0" w:line="240" w:lineRule="auto"/>
              <w:ind w:left="360" w:hanging="360"/>
              <w:rPr>
                <w:rFonts w:ascii="Times New Roman" w:hAnsiTheme="minorEastAsia" w:eastAsiaTheme="minorEastAsia"/>
                <w:snapToGrid w:val="0"/>
                <w:color w:val="auto"/>
                <w:kern w:val="21"/>
                <w:sz w:val="18"/>
                <w:szCs w:val="18"/>
              </w:rPr>
            </w:pPr>
          </w:p>
        </w:tc>
        <w:tc>
          <w:tcPr>
            <w:tcW w:w="1895" w:type="dxa"/>
          </w:tcPr>
          <w:p w14:paraId="2B180176">
            <w:pPr>
              <w:pStyle w:val="33"/>
              <w:spacing w:beforeLines="0" w:afterLines="0" w:line="240" w:lineRule="auto"/>
              <w:ind w:left="360" w:hanging="360"/>
              <w:rPr>
                <w:i/>
                <w:iCs/>
                <w:color w:val="auto"/>
                <w:sz w:val="18"/>
                <w:szCs w:val="18"/>
                <w:u w:val="single"/>
              </w:rPr>
            </w:pPr>
            <w:r>
              <w:rPr>
                <w:rFonts w:hint="eastAsia"/>
                <w:i/>
                <w:iCs/>
                <w:color w:val="auto"/>
                <w:sz w:val="18"/>
                <w:szCs w:val="18"/>
                <w:u w:val="single"/>
              </w:rPr>
              <w:t>沉淀物</w:t>
            </w:r>
          </w:p>
        </w:tc>
        <w:tc>
          <w:tcPr>
            <w:tcW w:w="1466" w:type="dxa"/>
            <w:vAlign w:val="center"/>
          </w:tcPr>
          <w:p w14:paraId="0162354E">
            <w:pPr>
              <w:pStyle w:val="33"/>
              <w:spacing w:beforeLines="0" w:afterLines="0" w:line="240" w:lineRule="auto"/>
              <w:ind w:left="360" w:hanging="360"/>
              <w:rPr>
                <w:rFonts w:ascii="Times New Roman" w:eastAsiaTheme="minorEastAsia"/>
                <w:i/>
                <w:iCs/>
                <w:snapToGrid w:val="0"/>
                <w:color w:val="auto"/>
                <w:kern w:val="21"/>
                <w:sz w:val="18"/>
                <w:szCs w:val="18"/>
                <w:u w:val="single"/>
              </w:rPr>
            </w:pPr>
            <w:r>
              <w:rPr>
                <w:rFonts w:hint="eastAsia" w:ascii="Times New Roman" w:eastAsiaTheme="minorEastAsia"/>
                <w:i/>
                <w:iCs/>
                <w:snapToGrid w:val="0"/>
                <w:color w:val="auto"/>
                <w:kern w:val="21"/>
                <w:sz w:val="18"/>
                <w:szCs w:val="18"/>
                <w:u w:val="single"/>
              </w:rPr>
              <w:t>/</w:t>
            </w:r>
          </w:p>
        </w:tc>
        <w:tc>
          <w:tcPr>
            <w:tcW w:w="1276" w:type="dxa"/>
            <w:vAlign w:val="center"/>
          </w:tcPr>
          <w:p w14:paraId="2D0E6A0A">
            <w:pPr>
              <w:pStyle w:val="33"/>
              <w:spacing w:beforeLines="0" w:afterLines="0" w:line="240" w:lineRule="auto"/>
              <w:ind w:left="360" w:hanging="360"/>
              <w:rPr>
                <w:rFonts w:ascii="Times New Roman" w:eastAsiaTheme="minorEastAsia"/>
                <w:i/>
                <w:iCs/>
                <w:snapToGrid w:val="0"/>
                <w:color w:val="auto"/>
                <w:kern w:val="21"/>
                <w:sz w:val="18"/>
                <w:szCs w:val="18"/>
                <w:u w:val="single"/>
              </w:rPr>
            </w:pPr>
            <w:r>
              <w:rPr>
                <w:rFonts w:hint="eastAsia" w:ascii="Times New Roman" w:eastAsiaTheme="minorEastAsia"/>
                <w:i/>
                <w:iCs/>
                <w:snapToGrid w:val="0"/>
                <w:color w:val="auto"/>
                <w:kern w:val="21"/>
                <w:sz w:val="18"/>
                <w:szCs w:val="18"/>
                <w:u w:val="single"/>
              </w:rPr>
              <w:t>/</w:t>
            </w:r>
          </w:p>
        </w:tc>
        <w:tc>
          <w:tcPr>
            <w:tcW w:w="1701" w:type="dxa"/>
            <w:vAlign w:val="center"/>
          </w:tcPr>
          <w:p w14:paraId="1A114F7E">
            <w:pPr>
              <w:pStyle w:val="33"/>
              <w:spacing w:beforeLines="0" w:afterLines="0" w:line="240" w:lineRule="auto"/>
              <w:ind w:left="360" w:hanging="360"/>
              <w:rPr>
                <w:rFonts w:ascii="Times New Roman" w:eastAsiaTheme="minorEastAsia"/>
                <w:i/>
                <w:iCs/>
                <w:snapToGrid w:val="0"/>
                <w:color w:val="auto"/>
                <w:kern w:val="21"/>
                <w:sz w:val="18"/>
                <w:szCs w:val="18"/>
                <w:u w:val="single"/>
              </w:rPr>
            </w:pPr>
            <w:r>
              <w:rPr>
                <w:rFonts w:hint="eastAsia" w:ascii="Times New Roman" w:eastAsiaTheme="minorEastAsia"/>
                <w:i/>
                <w:iCs/>
                <w:snapToGrid w:val="0"/>
                <w:color w:val="auto"/>
                <w:kern w:val="21"/>
                <w:sz w:val="18"/>
                <w:szCs w:val="18"/>
                <w:u w:val="single"/>
              </w:rPr>
              <w:t>/</w:t>
            </w:r>
          </w:p>
        </w:tc>
        <w:tc>
          <w:tcPr>
            <w:tcW w:w="1559" w:type="dxa"/>
            <w:vAlign w:val="center"/>
          </w:tcPr>
          <w:p w14:paraId="47D44AD4">
            <w:pPr>
              <w:pStyle w:val="33"/>
              <w:spacing w:beforeLines="0" w:afterLines="0" w:line="240" w:lineRule="auto"/>
              <w:ind w:left="360" w:hanging="360"/>
              <w:rPr>
                <w:rFonts w:eastAsiaTheme="minorEastAsia"/>
                <w:i/>
                <w:iCs/>
                <w:snapToGrid w:val="0"/>
                <w:color w:val="auto"/>
                <w:kern w:val="21"/>
                <w:sz w:val="18"/>
                <w:szCs w:val="18"/>
                <w:u w:val="single"/>
              </w:rPr>
            </w:pPr>
            <w:r>
              <w:rPr>
                <w:rFonts w:hint="eastAsia" w:ascii="Times New Roman" w:eastAsiaTheme="minorEastAsia"/>
                <w:i/>
                <w:iCs/>
                <w:snapToGrid w:val="0"/>
                <w:color w:val="auto"/>
                <w:kern w:val="21"/>
                <w:sz w:val="18"/>
                <w:szCs w:val="18"/>
                <w:u w:val="single"/>
              </w:rPr>
              <w:t>426.8394</w:t>
            </w:r>
          </w:p>
        </w:tc>
        <w:tc>
          <w:tcPr>
            <w:tcW w:w="1761" w:type="dxa"/>
            <w:vAlign w:val="center"/>
          </w:tcPr>
          <w:p w14:paraId="2D8FB40A">
            <w:pPr>
              <w:pStyle w:val="33"/>
              <w:spacing w:beforeLines="0" w:afterLines="0" w:line="240" w:lineRule="auto"/>
              <w:ind w:left="360" w:hanging="360"/>
              <w:rPr>
                <w:rFonts w:ascii="Times New Roman" w:eastAsiaTheme="minorEastAsia"/>
                <w:i/>
                <w:iCs/>
                <w:snapToGrid w:val="0"/>
                <w:color w:val="auto"/>
                <w:kern w:val="21"/>
                <w:sz w:val="18"/>
                <w:szCs w:val="18"/>
                <w:u w:val="single"/>
              </w:rPr>
            </w:pPr>
            <w:r>
              <w:rPr>
                <w:rFonts w:hint="eastAsia" w:ascii="Times New Roman" w:eastAsiaTheme="minorEastAsia"/>
                <w:i/>
                <w:iCs/>
                <w:snapToGrid w:val="0"/>
                <w:color w:val="auto"/>
                <w:kern w:val="21"/>
                <w:sz w:val="18"/>
                <w:szCs w:val="18"/>
                <w:u w:val="single"/>
              </w:rPr>
              <w:t>/</w:t>
            </w:r>
          </w:p>
        </w:tc>
        <w:tc>
          <w:tcPr>
            <w:tcW w:w="1811" w:type="dxa"/>
            <w:shd w:val="clear" w:color="auto" w:fill="auto"/>
            <w:vAlign w:val="center"/>
          </w:tcPr>
          <w:p w14:paraId="534B37EC">
            <w:pPr>
              <w:pStyle w:val="33"/>
              <w:spacing w:beforeLines="0" w:afterLines="0" w:line="240" w:lineRule="auto"/>
              <w:ind w:left="360" w:hanging="360"/>
              <w:rPr>
                <w:rFonts w:eastAsiaTheme="minorEastAsia"/>
                <w:i/>
                <w:iCs/>
                <w:snapToGrid w:val="0"/>
                <w:color w:val="auto"/>
                <w:kern w:val="21"/>
                <w:sz w:val="18"/>
                <w:szCs w:val="18"/>
                <w:u w:val="single"/>
              </w:rPr>
            </w:pPr>
            <w:r>
              <w:rPr>
                <w:rFonts w:hint="eastAsia" w:ascii="Times New Roman" w:eastAsiaTheme="minorEastAsia"/>
                <w:i/>
                <w:iCs/>
                <w:snapToGrid w:val="0"/>
                <w:color w:val="auto"/>
                <w:kern w:val="21"/>
                <w:sz w:val="18"/>
                <w:szCs w:val="18"/>
                <w:u w:val="single"/>
              </w:rPr>
              <w:t>426.8394</w:t>
            </w:r>
          </w:p>
        </w:tc>
        <w:tc>
          <w:tcPr>
            <w:tcW w:w="1106" w:type="dxa"/>
            <w:shd w:val="clear" w:color="auto" w:fill="auto"/>
            <w:vAlign w:val="center"/>
          </w:tcPr>
          <w:p w14:paraId="111405D1">
            <w:pPr>
              <w:pStyle w:val="33"/>
              <w:spacing w:beforeLines="0" w:afterLines="0" w:line="240" w:lineRule="auto"/>
              <w:ind w:left="360" w:hanging="360"/>
              <w:rPr>
                <w:rFonts w:eastAsiaTheme="minorEastAsia"/>
                <w:i/>
                <w:iCs/>
                <w:snapToGrid w:val="0"/>
                <w:color w:val="auto"/>
                <w:kern w:val="21"/>
                <w:sz w:val="18"/>
                <w:szCs w:val="18"/>
                <w:u w:val="single"/>
              </w:rPr>
            </w:pPr>
            <w:r>
              <w:rPr>
                <w:rFonts w:hint="eastAsia" w:ascii="Times New Roman" w:eastAsiaTheme="minorEastAsia"/>
                <w:i/>
                <w:iCs/>
                <w:snapToGrid w:val="0"/>
                <w:color w:val="auto"/>
                <w:kern w:val="21"/>
                <w:sz w:val="18"/>
                <w:szCs w:val="18"/>
                <w:u w:val="single"/>
              </w:rPr>
              <w:t>+426.8394</w:t>
            </w:r>
          </w:p>
        </w:tc>
      </w:tr>
    </w:tbl>
    <w:p w14:paraId="244AD57E">
      <w:pPr>
        <w:pStyle w:val="33"/>
        <w:spacing w:beforeLines="0" w:afterLines="0" w:line="260" w:lineRule="auto"/>
        <w:ind w:left="420" w:hanging="420"/>
        <w:jc w:val="left"/>
        <w:rPr>
          <w:rFonts w:hAnsi="宋体"/>
          <w:snapToGrid w:val="0"/>
          <w:color w:val="auto"/>
          <w:spacing w:val="-6"/>
          <w:kern w:val="21"/>
          <w:szCs w:val="21"/>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sectPr>
      <w:footerReference r:id="rId6"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Microsoft JhengHei">
    <w:panose1 w:val="020B0604030504040204"/>
    <w:charset w:val="88"/>
    <w:family w:val="swiss"/>
    <w:pitch w:val="default"/>
    <w:sig w:usb0="000002A7" w:usb1="28CF4400" w:usb2="00000016" w:usb3="00000000" w:csb0="00100009" w:csb1="00000000"/>
  </w:font>
  <w:font w:name="仿宋_GB2312">
    <w:panose1 w:val="02010609030101010101"/>
    <w:charset w:val="86"/>
    <w:family w:val="modern"/>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3B845">
    <w:pPr>
      <w:pStyle w:val="1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7F21E">
    <w:pPr>
      <w:pStyle w:val="16"/>
      <w:framePr w:wrap="around" w:vAnchor="text" w:hAnchor="margin" w:xAlign="center" w:y="1"/>
      <w:rPr>
        <w:rStyle w:val="28"/>
      </w:rPr>
    </w:pPr>
    <w:r>
      <w:fldChar w:fldCharType="begin"/>
    </w:r>
    <w:r>
      <w:rPr>
        <w:rStyle w:val="28"/>
      </w:rPr>
      <w:instrText xml:space="preserve">PAGE  </w:instrText>
    </w:r>
    <w:r>
      <w:fldChar w:fldCharType="separate"/>
    </w:r>
    <w:r>
      <w:rPr>
        <w:rStyle w:val="28"/>
      </w:rPr>
      <w:t>3</w:t>
    </w:r>
    <w:r>
      <w:fldChar w:fldCharType="end"/>
    </w:r>
  </w:p>
  <w:p w14:paraId="2201A7BD">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AF6EA">
    <w:pPr>
      <w:pStyle w:val="16"/>
      <w:framePr w:wrap="around" w:vAnchor="text" w:hAnchor="page" w:x="5462" w:y="-148"/>
      <w:jc w:val="center"/>
      <w:rPr>
        <w:rStyle w:val="28"/>
        <w:szCs w:val="18"/>
      </w:rPr>
    </w:pPr>
    <w:r>
      <w:rPr>
        <w:rStyle w:val="28"/>
        <w:szCs w:val="18"/>
      </w:rPr>
      <w:fldChar w:fldCharType="begin"/>
    </w:r>
    <w:r>
      <w:rPr>
        <w:rStyle w:val="28"/>
        <w:szCs w:val="18"/>
      </w:rPr>
      <w:instrText xml:space="preserve">PAGE  </w:instrText>
    </w:r>
    <w:r>
      <w:rPr>
        <w:rStyle w:val="28"/>
        <w:szCs w:val="18"/>
      </w:rPr>
      <w:fldChar w:fldCharType="separate"/>
    </w:r>
    <w:r>
      <w:rPr>
        <w:rStyle w:val="28"/>
        <w:szCs w:val="18"/>
      </w:rPr>
      <w:t>36</w:t>
    </w:r>
    <w:r>
      <w:rPr>
        <w:rStyle w:val="28"/>
        <w:szCs w:val="18"/>
      </w:rPr>
      <w:fldChar w:fldCharType="end"/>
    </w:r>
  </w:p>
  <w:p w14:paraId="54B23108">
    <w:pPr>
      <w:pStyle w:val="16"/>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CFD94">
    <w:pPr>
      <w:pStyle w:val="16"/>
      <w:framePr w:wrap="around" w:vAnchor="text" w:hAnchor="page" w:x="7800" w:y="-94"/>
      <w:rPr>
        <w:rStyle w:val="28"/>
        <w:rFonts w:ascii="宋体" w:hAnsi="宋体"/>
        <w:sz w:val="28"/>
        <w:szCs w:val="28"/>
      </w:rPr>
    </w:pPr>
    <w:r>
      <w:rPr>
        <w:rStyle w:val="28"/>
        <w:rFonts w:hint="eastAsia" w:ascii="宋体" w:hAnsi="宋体"/>
        <w:sz w:val="28"/>
        <w:szCs w:val="28"/>
      </w:rPr>
      <w:t>—</w:t>
    </w:r>
    <w:r>
      <w:rPr>
        <w:rStyle w:val="28"/>
        <w:rFonts w:ascii="宋体" w:hAnsi="宋体"/>
        <w:sz w:val="26"/>
        <w:szCs w:val="26"/>
      </w:rPr>
      <w:fldChar w:fldCharType="begin"/>
    </w:r>
    <w:r>
      <w:rPr>
        <w:rStyle w:val="28"/>
        <w:rFonts w:ascii="宋体" w:hAnsi="宋体"/>
        <w:sz w:val="26"/>
        <w:szCs w:val="26"/>
      </w:rPr>
      <w:instrText xml:space="preserve">PAGE  </w:instrText>
    </w:r>
    <w:r>
      <w:rPr>
        <w:rStyle w:val="28"/>
        <w:rFonts w:ascii="宋体" w:hAnsi="宋体"/>
        <w:sz w:val="26"/>
        <w:szCs w:val="26"/>
      </w:rPr>
      <w:fldChar w:fldCharType="separate"/>
    </w:r>
    <w:r>
      <w:rPr>
        <w:rStyle w:val="28"/>
        <w:rFonts w:ascii="宋体" w:hAnsi="宋体"/>
        <w:sz w:val="26"/>
        <w:szCs w:val="26"/>
      </w:rPr>
      <w:t>37</w:t>
    </w:r>
    <w:r>
      <w:rPr>
        <w:rStyle w:val="28"/>
        <w:rFonts w:ascii="宋体" w:hAnsi="宋体"/>
        <w:sz w:val="26"/>
        <w:szCs w:val="26"/>
      </w:rPr>
      <w:fldChar w:fldCharType="end"/>
    </w:r>
    <w:r>
      <w:rPr>
        <w:rStyle w:val="28"/>
        <w:rFonts w:hint="eastAsia" w:ascii="宋体" w:hAnsi="宋体"/>
        <w:sz w:val="28"/>
        <w:szCs w:val="28"/>
      </w:rPr>
      <w:t>—</w:t>
    </w:r>
  </w:p>
  <w:p w14:paraId="69C33BFB">
    <w:pPr>
      <w:pStyle w:val="16"/>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DA58FB"/>
    <w:multiLevelType w:val="singleLevel"/>
    <w:tmpl w:val="C4DA58FB"/>
    <w:lvl w:ilvl="0" w:tentative="0">
      <w:start w:val="1"/>
      <w:numFmt w:val="bullet"/>
      <w:pStyle w:val="13"/>
      <w:lvlText w:val=""/>
      <w:lvlJc w:val="left"/>
      <w:pPr>
        <w:tabs>
          <w:tab w:val="left" w:pos="2040"/>
        </w:tabs>
        <w:ind w:left="2040" w:hanging="360"/>
      </w:pPr>
      <w:rPr>
        <w:rFonts w:hint="default" w:ascii="Wingdings" w:hAnsi="Wingdings"/>
      </w:rPr>
    </w:lvl>
  </w:abstractNum>
  <w:abstractNum w:abstractNumId="1">
    <w:nsid w:val="F95A36D9"/>
    <w:multiLevelType w:val="singleLevel"/>
    <w:tmpl w:val="F95A36D9"/>
    <w:lvl w:ilvl="0" w:tentative="0">
      <w:start w:val="4"/>
      <w:numFmt w:val="decimal"/>
      <w:suff w:val="nothing"/>
      <w:lvlText w:val="%1、"/>
      <w:lvlJc w:val="left"/>
    </w:lvl>
  </w:abstractNum>
  <w:abstractNum w:abstractNumId="2">
    <w:nsid w:val="3DAED70F"/>
    <w:multiLevelType w:val="singleLevel"/>
    <w:tmpl w:val="3DAED70F"/>
    <w:lvl w:ilvl="0" w:tentative="0">
      <w:start w:val="3"/>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4YzU4ZDM2Mjc4NjZhY2Y3YjEwOGQ1ZmY5OGEyODgifQ=="/>
  </w:docVars>
  <w:rsids>
    <w:rsidRoot w:val="57A10D54"/>
    <w:rsid w:val="00000C56"/>
    <w:rsid w:val="00002851"/>
    <w:rsid w:val="000060E8"/>
    <w:rsid w:val="0000788F"/>
    <w:rsid w:val="00012F85"/>
    <w:rsid w:val="00014262"/>
    <w:rsid w:val="00016386"/>
    <w:rsid w:val="00017253"/>
    <w:rsid w:val="000176AC"/>
    <w:rsid w:val="00020672"/>
    <w:rsid w:val="000229EF"/>
    <w:rsid w:val="00024377"/>
    <w:rsid w:val="0002458A"/>
    <w:rsid w:val="000258A3"/>
    <w:rsid w:val="000273C8"/>
    <w:rsid w:val="000308C1"/>
    <w:rsid w:val="0004235B"/>
    <w:rsid w:val="0004443A"/>
    <w:rsid w:val="00053445"/>
    <w:rsid w:val="00054FDD"/>
    <w:rsid w:val="00066022"/>
    <w:rsid w:val="00072F78"/>
    <w:rsid w:val="00076EC6"/>
    <w:rsid w:val="00077597"/>
    <w:rsid w:val="00090304"/>
    <w:rsid w:val="00090A70"/>
    <w:rsid w:val="000920EE"/>
    <w:rsid w:val="000A08A1"/>
    <w:rsid w:val="000A4F4A"/>
    <w:rsid w:val="000A5678"/>
    <w:rsid w:val="000B0E4B"/>
    <w:rsid w:val="000B1CDD"/>
    <w:rsid w:val="000B76F7"/>
    <w:rsid w:val="000C4194"/>
    <w:rsid w:val="000C61D6"/>
    <w:rsid w:val="000D0453"/>
    <w:rsid w:val="000E065F"/>
    <w:rsid w:val="000E31A2"/>
    <w:rsid w:val="000E6BC5"/>
    <w:rsid w:val="000F253D"/>
    <w:rsid w:val="000F26D7"/>
    <w:rsid w:val="000F4CCA"/>
    <w:rsid w:val="00103DE2"/>
    <w:rsid w:val="00105D29"/>
    <w:rsid w:val="00106150"/>
    <w:rsid w:val="00115EAD"/>
    <w:rsid w:val="0012284F"/>
    <w:rsid w:val="00125C64"/>
    <w:rsid w:val="001279C4"/>
    <w:rsid w:val="00127C72"/>
    <w:rsid w:val="001316B4"/>
    <w:rsid w:val="00132365"/>
    <w:rsid w:val="00150126"/>
    <w:rsid w:val="00152AA8"/>
    <w:rsid w:val="00152B53"/>
    <w:rsid w:val="0015482F"/>
    <w:rsid w:val="0015525A"/>
    <w:rsid w:val="0016168F"/>
    <w:rsid w:val="001628FB"/>
    <w:rsid w:val="00167923"/>
    <w:rsid w:val="00167EF8"/>
    <w:rsid w:val="00171C28"/>
    <w:rsid w:val="00171FE9"/>
    <w:rsid w:val="001733BA"/>
    <w:rsid w:val="00173898"/>
    <w:rsid w:val="001778B7"/>
    <w:rsid w:val="00182989"/>
    <w:rsid w:val="00182AC6"/>
    <w:rsid w:val="0018464C"/>
    <w:rsid w:val="0019100F"/>
    <w:rsid w:val="00192990"/>
    <w:rsid w:val="001934E5"/>
    <w:rsid w:val="00195DF6"/>
    <w:rsid w:val="001A0290"/>
    <w:rsid w:val="001B24D3"/>
    <w:rsid w:val="001C04C1"/>
    <w:rsid w:val="001C5283"/>
    <w:rsid w:val="001C5547"/>
    <w:rsid w:val="001C791F"/>
    <w:rsid w:val="001C7FA3"/>
    <w:rsid w:val="001D37DF"/>
    <w:rsid w:val="001D6EEE"/>
    <w:rsid w:val="001E4AC1"/>
    <w:rsid w:val="001F35E1"/>
    <w:rsid w:val="001F5645"/>
    <w:rsid w:val="001F5E0F"/>
    <w:rsid w:val="001F6374"/>
    <w:rsid w:val="00200BB2"/>
    <w:rsid w:val="00200C93"/>
    <w:rsid w:val="0020642D"/>
    <w:rsid w:val="002169AF"/>
    <w:rsid w:val="00221196"/>
    <w:rsid w:val="00225FF5"/>
    <w:rsid w:val="00227511"/>
    <w:rsid w:val="00236D19"/>
    <w:rsid w:val="00240A53"/>
    <w:rsid w:val="002425AE"/>
    <w:rsid w:val="00246EE5"/>
    <w:rsid w:val="00247F2F"/>
    <w:rsid w:val="002535AC"/>
    <w:rsid w:val="00256FA6"/>
    <w:rsid w:val="00260DE5"/>
    <w:rsid w:val="00263EF5"/>
    <w:rsid w:val="002736F4"/>
    <w:rsid w:val="002757B6"/>
    <w:rsid w:val="00277A34"/>
    <w:rsid w:val="00277F34"/>
    <w:rsid w:val="002808AA"/>
    <w:rsid w:val="00284E4C"/>
    <w:rsid w:val="002866FC"/>
    <w:rsid w:val="00286E3C"/>
    <w:rsid w:val="00286F23"/>
    <w:rsid w:val="00290069"/>
    <w:rsid w:val="002930E1"/>
    <w:rsid w:val="0029392F"/>
    <w:rsid w:val="00295933"/>
    <w:rsid w:val="00297F70"/>
    <w:rsid w:val="002A062E"/>
    <w:rsid w:val="002A24F3"/>
    <w:rsid w:val="002A2917"/>
    <w:rsid w:val="002A59A6"/>
    <w:rsid w:val="002A778B"/>
    <w:rsid w:val="002A78B0"/>
    <w:rsid w:val="002B61B6"/>
    <w:rsid w:val="002C066F"/>
    <w:rsid w:val="002C268F"/>
    <w:rsid w:val="002C29FE"/>
    <w:rsid w:val="002C34BA"/>
    <w:rsid w:val="002C3884"/>
    <w:rsid w:val="002D18BF"/>
    <w:rsid w:val="002D1F20"/>
    <w:rsid w:val="002D3050"/>
    <w:rsid w:val="002E08CE"/>
    <w:rsid w:val="002E3557"/>
    <w:rsid w:val="002E3C7D"/>
    <w:rsid w:val="002E3DE6"/>
    <w:rsid w:val="002F3DD2"/>
    <w:rsid w:val="002F4E7D"/>
    <w:rsid w:val="002F60C1"/>
    <w:rsid w:val="0030080E"/>
    <w:rsid w:val="00301DF9"/>
    <w:rsid w:val="00303769"/>
    <w:rsid w:val="0030428C"/>
    <w:rsid w:val="00304C2E"/>
    <w:rsid w:val="0030528B"/>
    <w:rsid w:val="0030752B"/>
    <w:rsid w:val="003147A5"/>
    <w:rsid w:val="00316E42"/>
    <w:rsid w:val="00317CE9"/>
    <w:rsid w:val="003207E0"/>
    <w:rsid w:val="00321CEF"/>
    <w:rsid w:val="00331EC9"/>
    <w:rsid w:val="00337FA8"/>
    <w:rsid w:val="00340303"/>
    <w:rsid w:val="003507B6"/>
    <w:rsid w:val="00351D2F"/>
    <w:rsid w:val="00354024"/>
    <w:rsid w:val="00361751"/>
    <w:rsid w:val="00362A24"/>
    <w:rsid w:val="00367D41"/>
    <w:rsid w:val="003700C7"/>
    <w:rsid w:val="003708B4"/>
    <w:rsid w:val="0037269C"/>
    <w:rsid w:val="003733A6"/>
    <w:rsid w:val="00374E59"/>
    <w:rsid w:val="00381BDB"/>
    <w:rsid w:val="00387D86"/>
    <w:rsid w:val="003919C0"/>
    <w:rsid w:val="0039428E"/>
    <w:rsid w:val="003A2FF4"/>
    <w:rsid w:val="003A39B9"/>
    <w:rsid w:val="003A5A7D"/>
    <w:rsid w:val="003A6F6F"/>
    <w:rsid w:val="003B17E0"/>
    <w:rsid w:val="003B1D72"/>
    <w:rsid w:val="003B1FC1"/>
    <w:rsid w:val="003B5767"/>
    <w:rsid w:val="003C104A"/>
    <w:rsid w:val="003C6340"/>
    <w:rsid w:val="003D2294"/>
    <w:rsid w:val="003D433D"/>
    <w:rsid w:val="003D48CB"/>
    <w:rsid w:val="003F2605"/>
    <w:rsid w:val="003F3944"/>
    <w:rsid w:val="003F5BE5"/>
    <w:rsid w:val="003F6F0E"/>
    <w:rsid w:val="00401794"/>
    <w:rsid w:val="0040677B"/>
    <w:rsid w:val="00407E07"/>
    <w:rsid w:val="00411DF8"/>
    <w:rsid w:val="00412CE8"/>
    <w:rsid w:val="00420BA3"/>
    <w:rsid w:val="00420C5D"/>
    <w:rsid w:val="00423A00"/>
    <w:rsid w:val="00431559"/>
    <w:rsid w:val="00432E9F"/>
    <w:rsid w:val="00446925"/>
    <w:rsid w:val="00456D0D"/>
    <w:rsid w:val="00464B77"/>
    <w:rsid w:val="00466CAC"/>
    <w:rsid w:val="00466DD7"/>
    <w:rsid w:val="00471D6F"/>
    <w:rsid w:val="00473BF5"/>
    <w:rsid w:val="00474C13"/>
    <w:rsid w:val="0048180B"/>
    <w:rsid w:val="004823A0"/>
    <w:rsid w:val="004847E9"/>
    <w:rsid w:val="00484DAC"/>
    <w:rsid w:val="0048659C"/>
    <w:rsid w:val="00492309"/>
    <w:rsid w:val="0049340A"/>
    <w:rsid w:val="004936D1"/>
    <w:rsid w:val="004956C6"/>
    <w:rsid w:val="0049657C"/>
    <w:rsid w:val="004A2316"/>
    <w:rsid w:val="004A26A2"/>
    <w:rsid w:val="004A38A0"/>
    <w:rsid w:val="004A4872"/>
    <w:rsid w:val="004A4BE3"/>
    <w:rsid w:val="004B445C"/>
    <w:rsid w:val="004B5805"/>
    <w:rsid w:val="004B5DB2"/>
    <w:rsid w:val="004C155E"/>
    <w:rsid w:val="004C55AF"/>
    <w:rsid w:val="004C57BF"/>
    <w:rsid w:val="004C5FF0"/>
    <w:rsid w:val="004D1BE8"/>
    <w:rsid w:val="004D1DC8"/>
    <w:rsid w:val="004D3026"/>
    <w:rsid w:val="004D7DB6"/>
    <w:rsid w:val="004E61E4"/>
    <w:rsid w:val="004E7EE6"/>
    <w:rsid w:val="004F1498"/>
    <w:rsid w:val="004F2E9E"/>
    <w:rsid w:val="004F3830"/>
    <w:rsid w:val="004F3CA9"/>
    <w:rsid w:val="0050150C"/>
    <w:rsid w:val="00502111"/>
    <w:rsid w:val="00504487"/>
    <w:rsid w:val="00506CAD"/>
    <w:rsid w:val="00510D8B"/>
    <w:rsid w:val="00520E2C"/>
    <w:rsid w:val="0052302C"/>
    <w:rsid w:val="005270A0"/>
    <w:rsid w:val="00527CC1"/>
    <w:rsid w:val="0053594F"/>
    <w:rsid w:val="00536B38"/>
    <w:rsid w:val="005415A4"/>
    <w:rsid w:val="005433D3"/>
    <w:rsid w:val="00544913"/>
    <w:rsid w:val="00546918"/>
    <w:rsid w:val="0055147A"/>
    <w:rsid w:val="00553C44"/>
    <w:rsid w:val="00553F97"/>
    <w:rsid w:val="0055443A"/>
    <w:rsid w:val="0055622F"/>
    <w:rsid w:val="005628A1"/>
    <w:rsid w:val="005639F6"/>
    <w:rsid w:val="00565DE7"/>
    <w:rsid w:val="00566771"/>
    <w:rsid w:val="00566B68"/>
    <w:rsid w:val="00577CD5"/>
    <w:rsid w:val="00580501"/>
    <w:rsid w:val="00582B74"/>
    <w:rsid w:val="00586140"/>
    <w:rsid w:val="00587511"/>
    <w:rsid w:val="00590D74"/>
    <w:rsid w:val="00591459"/>
    <w:rsid w:val="005952A0"/>
    <w:rsid w:val="00596835"/>
    <w:rsid w:val="005977A9"/>
    <w:rsid w:val="005A5041"/>
    <w:rsid w:val="005B292F"/>
    <w:rsid w:val="005B4104"/>
    <w:rsid w:val="005B4654"/>
    <w:rsid w:val="005B50E1"/>
    <w:rsid w:val="005B7E83"/>
    <w:rsid w:val="005C48A1"/>
    <w:rsid w:val="005C6837"/>
    <w:rsid w:val="005D332B"/>
    <w:rsid w:val="005E0CFA"/>
    <w:rsid w:val="005E22EF"/>
    <w:rsid w:val="005F186E"/>
    <w:rsid w:val="005F3F5F"/>
    <w:rsid w:val="005F6A07"/>
    <w:rsid w:val="00600E24"/>
    <w:rsid w:val="00601E72"/>
    <w:rsid w:val="00605890"/>
    <w:rsid w:val="00605D59"/>
    <w:rsid w:val="00610151"/>
    <w:rsid w:val="00612215"/>
    <w:rsid w:val="00621C65"/>
    <w:rsid w:val="00625B5D"/>
    <w:rsid w:val="006260E1"/>
    <w:rsid w:val="00626A7D"/>
    <w:rsid w:val="00626C7C"/>
    <w:rsid w:val="00631573"/>
    <w:rsid w:val="00637098"/>
    <w:rsid w:val="00650B4F"/>
    <w:rsid w:val="00650E24"/>
    <w:rsid w:val="0065225F"/>
    <w:rsid w:val="00654A26"/>
    <w:rsid w:val="00656973"/>
    <w:rsid w:val="00657855"/>
    <w:rsid w:val="00662493"/>
    <w:rsid w:val="006677E6"/>
    <w:rsid w:val="00671172"/>
    <w:rsid w:val="00672D17"/>
    <w:rsid w:val="00674551"/>
    <w:rsid w:val="00676A17"/>
    <w:rsid w:val="00686022"/>
    <w:rsid w:val="006961FD"/>
    <w:rsid w:val="006B02D4"/>
    <w:rsid w:val="006B39FC"/>
    <w:rsid w:val="006B57F8"/>
    <w:rsid w:val="006C1AAF"/>
    <w:rsid w:val="006C2591"/>
    <w:rsid w:val="006C4579"/>
    <w:rsid w:val="006D4458"/>
    <w:rsid w:val="006E0EE3"/>
    <w:rsid w:val="006F0907"/>
    <w:rsid w:val="006F2990"/>
    <w:rsid w:val="006F2A91"/>
    <w:rsid w:val="006F4FBF"/>
    <w:rsid w:val="006F58B0"/>
    <w:rsid w:val="00701D7F"/>
    <w:rsid w:val="007023D9"/>
    <w:rsid w:val="00710029"/>
    <w:rsid w:val="007120CB"/>
    <w:rsid w:val="00712E55"/>
    <w:rsid w:val="00713803"/>
    <w:rsid w:val="007245CC"/>
    <w:rsid w:val="007247B1"/>
    <w:rsid w:val="007252B9"/>
    <w:rsid w:val="007269DD"/>
    <w:rsid w:val="00734251"/>
    <w:rsid w:val="00734DCC"/>
    <w:rsid w:val="007427F1"/>
    <w:rsid w:val="00743690"/>
    <w:rsid w:val="00746AEC"/>
    <w:rsid w:val="00750902"/>
    <w:rsid w:val="00753611"/>
    <w:rsid w:val="0075458C"/>
    <w:rsid w:val="00755FB3"/>
    <w:rsid w:val="00757982"/>
    <w:rsid w:val="007623AF"/>
    <w:rsid w:val="007624EF"/>
    <w:rsid w:val="0077628C"/>
    <w:rsid w:val="00780BDD"/>
    <w:rsid w:val="00781439"/>
    <w:rsid w:val="00783F2F"/>
    <w:rsid w:val="00784285"/>
    <w:rsid w:val="00786A5C"/>
    <w:rsid w:val="0079168B"/>
    <w:rsid w:val="00795B6B"/>
    <w:rsid w:val="007A03A4"/>
    <w:rsid w:val="007A23A3"/>
    <w:rsid w:val="007B6880"/>
    <w:rsid w:val="007C22CE"/>
    <w:rsid w:val="007C4668"/>
    <w:rsid w:val="007C63E2"/>
    <w:rsid w:val="007C7D8A"/>
    <w:rsid w:val="007D167E"/>
    <w:rsid w:val="007D262B"/>
    <w:rsid w:val="007D2C40"/>
    <w:rsid w:val="007D5772"/>
    <w:rsid w:val="007E1EF4"/>
    <w:rsid w:val="007E4A78"/>
    <w:rsid w:val="007E55F2"/>
    <w:rsid w:val="007F0D74"/>
    <w:rsid w:val="007F1968"/>
    <w:rsid w:val="007F2311"/>
    <w:rsid w:val="007F674E"/>
    <w:rsid w:val="007F7205"/>
    <w:rsid w:val="00801ABD"/>
    <w:rsid w:val="008049E0"/>
    <w:rsid w:val="008101AE"/>
    <w:rsid w:val="008114CE"/>
    <w:rsid w:val="00811A88"/>
    <w:rsid w:val="00813BFE"/>
    <w:rsid w:val="00817D14"/>
    <w:rsid w:val="00825822"/>
    <w:rsid w:val="00825C46"/>
    <w:rsid w:val="00833065"/>
    <w:rsid w:val="00836FCD"/>
    <w:rsid w:val="00841E09"/>
    <w:rsid w:val="00842EB3"/>
    <w:rsid w:val="00844768"/>
    <w:rsid w:val="008523B7"/>
    <w:rsid w:val="00852EC3"/>
    <w:rsid w:val="00857C0A"/>
    <w:rsid w:val="00857F94"/>
    <w:rsid w:val="00861804"/>
    <w:rsid w:val="00862967"/>
    <w:rsid w:val="008638F4"/>
    <w:rsid w:val="00865640"/>
    <w:rsid w:val="0086713A"/>
    <w:rsid w:val="008701A0"/>
    <w:rsid w:val="008735C3"/>
    <w:rsid w:val="008775D1"/>
    <w:rsid w:val="00881FD3"/>
    <w:rsid w:val="00883331"/>
    <w:rsid w:val="008848B6"/>
    <w:rsid w:val="00890D2B"/>
    <w:rsid w:val="00892B9D"/>
    <w:rsid w:val="00894850"/>
    <w:rsid w:val="008952A8"/>
    <w:rsid w:val="00897B53"/>
    <w:rsid w:val="008A0C25"/>
    <w:rsid w:val="008A132D"/>
    <w:rsid w:val="008A4E18"/>
    <w:rsid w:val="008A72A4"/>
    <w:rsid w:val="008B1861"/>
    <w:rsid w:val="008B4208"/>
    <w:rsid w:val="008C0A0A"/>
    <w:rsid w:val="008C3A05"/>
    <w:rsid w:val="008C5441"/>
    <w:rsid w:val="008C6B6E"/>
    <w:rsid w:val="008C70C3"/>
    <w:rsid w:val="008D1260"/>
    <w:rsid w:val="008D1D2D"/>
    <w:rsid w:val="008D33A8"/>
    <w:rsid w:val="008D59D3"/>
    <w:rsid w:val="008D6D27"/>
    <w:rsid w:val="008D6E4D"/>
    <w:rsid w:val="008E2177"/>
    <w:rsid w:val="008E26D5"/>
    <w:rsid w:val="008E36B9"/>
    <w:rsid w:val="008E3B76"/>
    <w:rsid w:val="008E3CFA"/>
    <w:rsid w:val="008E5968"/>
    <w:rsid w:val="008E6CE8"/>
    <w:rsid w:val="008F11ED"/>
    <w:rsid w:val="0090398C"/>
    <w:rsid w:val="0090659E"/>
    <w:rsid w:val="009073D2"/>
    <w:rsid w:val="00913ED9"/>
    <w:rsid w:val="00921F0B"/>
    <w:rsid w:val="00927F95"/>
    <w:rsid w:val="0093066C"/>
    <w:rsid w:val="00933780"/>
    <w:rsid w:val="00933E93"/>
    <w:rsid w:val="00950804"/>
    <w:rsid w:val="00953300"/>
    <w:rsid w:val="00953619"/>
    <w:rsid w:val="009638C5"/>
    <w:rsid w:val="00965050"/>
    <w:rsid w:val="00965D31"/>
    <w:rsid w:val="00966443"/>
    <w:rsid w:val="009678A9"/>
    <w:rsid w:val="009744EC"/>
    <w:rsid w:val="009770D6"/>
    <w:rsid w:val="00982EEF"/>
    <w:rsid w:val="00983909"/>
    <w:rsid w:val="009866DA"/>
    <w:rsid w:val="009901AF"/>
    <w:rsid w:val="00991448"/>
    <w:rsid w:val="009947B9"/>
    <w:rsid w:val="0099489F"/>
    <w:rsid w:val="009A09F3"/>
    <w:rsid w:val="009A3C7F"/>
    <w:rsid w:val="009B0192"/>
    <w:rsid w:val="009B08A0"/>
    <w:rsid w:val="009B287B"/>
    <w:rsid w:val="009B2AF1"/>
    <w:rsid w:val="009C20D4"/>
    <w:rsid w:val="009C3ACB"/>
    <w:rsid w:val="009C5A52"/>
    <w:rsid w:val="009C79A6"/>
    <w:rsid w:val="009C7E46"/>
    <w:rsid w:val="009D06F6"/>
    <w:rsid w:val="009D382F"/>
    <w:rsid w:val="009E12C6"/>
    <w:rsid w:val="009E67F3"/>
    <w:rsid w:val="009F073D"/>
    <w:rsid w:val="009F0CB4"/>
    <w:rsid w:val="009F315C"/>
    <w:rsid w:val="009F4AED"/>
    <w:rsid w:val="009F562D"/>
    <w:rsid w:val="009F5EAC"/>
    <w:rsid w:val="00A02D94"/>
    <w:rsid w:val="00A05AA4"/>
    <w:rsid w:val="00A066F2"/>
    <w:rsid w:val="00A14185"/>
    <w:rsid w:val="00A14D14"/>
    <w:rsid w:val="00A24771"/>
    <w:rsid w:val="00A26DF4"/>
    <w:rsid w:val="00A3167A"/>
    <w:rsid w:val="00A43CCF"/>
    <w:rsid w:val="00A5230B"/>
    <w:rsid w:val="00A53D8A"/>
    <w:rsid w:val="00A54D21"/>
    <w:rsid w:val="00A558D7"/>
    <w:rsid w:val="00A6409D"/>
    <w:rsid w:val="00A65DE5"/>
    <w:rsid w:val="00A66061"/>
    <w:rsid w:val="00A66F2C"/>
    <w:rsid w:val="00A705DA"/>
    <w:rsid w:val="00A716AE"/>
    <w:rsid w:val="00A72925"/>
    <w:rsid w:val="00A74D3F"/>
    <w:rsid w:val="00A764FE"/>
    <w:rsid w:val="00A779E9"/>
    <w:rsid w:val="00A77A08"/>
    <w:rsid w:val="00A80BA2"/>
    <w:rsid w:val="00A81496"/>
    <w:rsid w:val="00A816BE"/>
    <w:rsid w:val="00A84F29"/>
    <w:rsid w:val="00A854F4"/>
    <w:rsid w:val="00A925B4"/>
    <w:rsid w:val="00A93616"/>
    <w:rsid w:val="00A9502E"/>
    <w:rsid w:val="00A9762C"/>
    <w:rsid w:val="00AB29A2"/>
    <w:rsid w:val="00AB657F"/>
    <w:rsid w:val="00AC4B01"/>
    <w:rsid w:val="00AC5E2F"/>
    <w:rsid w:val="00AC70CC"/>
    <w:rsid w:val="00AD040B"/>
    <w:rsid w:val="00AD1F37"/>
    <w:rsid w:val="00AD2E91"/>
    <w:rsid w:val="00AD4340"/>
    <w:rsid w:val="00AD57D5"/>
    <w:rsid w:val="00AD5F4F"/>
    <w:rsid w:val="00AD6393"/>
    <w:rsid w:val="00AD6F83"/>
    <w:rsid w:val="00AD7E93"/>
    <w:rsid w:val="00AE0FD6"/>
    <w:rsid w:val="00AE1E16"/>
    <w:rsid w:val="00AE2551"/>
    <w:rsid w:val="00B025C5"/>
    <w:rsid w:val="00B11332"/>
    <w:rsid w:val="00B14865"/>
    <w:rsid w:val="00B1522A"/>
    <w:rsid w:val="00B1683C"/>
    <w:rsid w:val="00B22125"/>
    <w:rsid w:val="00B23EF3"/>
    <w:rsid w:val="00B24250"/>
    <w:rsid w:val="00B2751B"/>
    <w:rsid w:val="00B27793"/>
    <w:rsid w:val="00B31B0E"/>
    <w:rsid w:val="00B320AD"/>
    <w:rsid w:val="00B320D3"/>
    <w:rsid w:val="00B33781"/>
    <w:rsid w:val="00B40444"/>
    <w:rsid w:val="00B416C7"/>
    <w:rsid w:val="00B42840"/>
    <w:rsid w:val="00B42BC5"/>
    <w:rsid w:val="00B4443B"/>
    <w:rsid w:val="00B65E2F"/>
    <w:rsid w:val="00B67583"/>
    <w:rsid w:val="00B755AE"/>
    <w:rsid w:val="00B806ED"/>
    <w:rsid w:val="00B849BB"/>
    <w:rsid w:val="00B8583E"/>
    <w:rsid w:val="00B872A8"/>
    <w:rsid w:val="00B94BC7"/>
    <w:rsid w:val="00BB2539"/>
    <w:rsid w:val="00BB6CB1"/>
    <w:rsid w:val="00BC13F2"/>
    <w:rsid w:val="00BC74F8"/>
    <w:rsid w:val="00BD04E9"/>
    <w:rsid w:val="00BD0C5C"/>
    <w:rsid w:val="00BE4F53"/>
    <w:rsid w:val="00BE5609"/>
    <w:rsid w:val="00BE6A8F"/>
    <w:rsid w:val="00BF06A0"/>
    <w:rsid w:val="00BF5546"/>
    <w:rsid w:val="00C02B43"/>
    <w:rsid w:val="00C0580A"/>
    <w:rsid w:val="00C060FC"/>
    <w:rsid w:val="00C06CB4"/>
    <w:rsid w:val="00C12CF5"/>
    <w:rsid w:val="00C310C7"/>
    <w:rsid w:val="00C31707"/>
    <w:rsid w:val="00C31969"/>
    <w:rsid w:val="00C405E1"/>
    <w:rsid w:val="00C42121"/>
    <w:rsid w:val="00C43587"/>
    <w:rsid w:val="00C519C5"/>
    <w:rsid w:val="00C57EDD"/>
    <w:rsid w:val="00C60981"/>
    <w:rsid w:val="00C6146A"/>
    <w:rsid w:val="00C6665F"/>
    <w:rsid w:val="00C734C8"/>
    <w:rsid w:val="00C74480"/>
    <w:rsid w:val="00C749B6"/>
    <w:rsid w:val="00C74FA2"/>
    <w:rsid w:val="00C77263"/>
    <w:rsid w:val="00C81546"/>
    <w:rsid w:val="00C82932"/>
    <w:rsid w:val="00C87F5F"/>
    <w:rsid w:val="00C92CAF"/>
    <w:rsid w:val="00C92EBE"/>
    <w:rsid w:val="00CA2C73"/>
    <w:rsid w:val="00CA321A"/>
    <w:rsid w:val="00CA537A"/>
    <w:rsid w:val="00CA59F9"/>
    <w:rsid w:val="00CA5FBC"/>
    <w:rsid w:val="00CA7B3A"/>
    <w:rsid w:val="00CA7D5B"/>
    <w:rsid w:val="00CB13C5"/>
    <w:rsid w:val="00CB2D5E"/>
    <w:rsid w:val="00CB38A1"/>
    <w:rsid w:val="00CB3AE8"/>
    <w:rsid w:val="00CB3C57"/>
    <w:rsid w:val="00CB3FCF"/>
    <w:rsid w:val="00CB49F8"/>
    <w:rsid w:val="00CD2A55"/>
    <w:rsid w:val="00CD4446"/>
    <w:rsid w:val="00CD546A"/>
    <w:rsid w:val="00CD609B"/>
    <w:rsid w:val="00CD6346"/>
    <w:rsid w:val="00CE10AE"/>
    <w:rsid w:val="00CE31F9"/>
    <w:rsid w:val="00CE78AC"/>
    <w:rsid w:val="00CF127C"/>
    <w:rsid w:val="00CF4C5A"/>
    <w:rsid w:val="00D009CC"/>
    <w:rsid w:val="00D017EB"/>
    <w:rsid w:val="00D12DF4"/>
    <w:rsid w:val="00D17A8A"/>
    <w:rsid w:val="00D17E66"/>
    <w:rsid w:val="00D20061"/>
    <w:rsid w:val="00D201F3"/>
    <w:rsid w:val="00D20526"/>
    <w:rsid w:val="00D20A80"/>
    <w:rsid w:val="00D21806"/>
    <w:rsid w:val="00D21F0B"/>
    <w:rsid w:val="00D223CB"/>
    <w:rsid w:val="00D224CA"/>
    <w:rsid w:val="00D26851"/>
    <w:rsid w:val="00D274DA"/>
    <w:rsid w:val="00D32E66"/>
    <w:rsid w:val="00D351E3"/>
    <w:rsid w:val="00D36A8E"/>
    <w:rsid w:val="00D4431F"/>
    <w:rsid w:val="00D50063"/>
    <w:rsid w:val="00D50D0E"/>
    <w:rsid w:val="00D5165F"/>
    <w:rsid w:val="00D54E70"/>
    <w:rsid w:val="00D56645"/>
    <w:rsid w:val="00D62477"/>
    <w:rsid w:val="00D656CA"/>
    <w:rsid w:val="00D66DA9"/>
    <w:rsid w:val="00D70D06"/>
    <w:rsid w:val="00D7347B"/>
    <w:rsid w:val="00D84768"/>
    <w:rsid w:val="00D87EF0"/>
    <w:rsid w:val="00D94FF3"/>
    <w:rsid w:val="00D9685D"/>
    <w:rsid w:val="00DA2735"/>
    <w:rsid w:val="00DA6CD9"/>
    <w:rsid w:val="00DA6CE4"/>
    <w:rsid w:val="00DA761C"/>
    <w:rsid w:val="00DB0263"/>
    <w:rsid w:val="00DB0AF3"/>
    <w:rsid w:val="00DB593B"/>
    <w:rsid w:val="00DB6A09"/>
    <w:rsid w:val="00DB6BA6"/>
    <w:rsid w:val="00DC2BA1"/>
    <w:rsid w:val="00DC3B00"/>
    <w:rsid w:val="00DC59A6"/>
    <w:rsid w:val="00DC65F0"/>
    <w:rsid w:val="00DD2112"/>
    <w:rsid w:val="00DE369F"/>
    <w:rsid w:val="00DF3637"/>
    <w:rsid w:val="00E01F8A"/>
    <w:rsid w:val="00E02157"/>
    <w:rsid w:val="00E044EA"/>
    <w:rsid w:val="00E048F3"/>
    <w:rsid w:val="00E04CB2"/>
    <w:rsid w:val="00E07DD0"/>
    <w:rsid w:val="00E1048A"/>
    <w:rsid w:val="00E120D0"/>
    <w:rsid w:val="00E14A5C"/>
    <w:rsid w:val="00E14BB7"/>
    <w:rsid w:val="00E16049"/>
    <w:rsid w:val="00E16C93"/>
    <w:rsid w:val="00E24EBD"/>
    <w:rsid w:val="00E25315"/>
    <w:rsid w:val="00E256F5"/>
    <w:rsid w:val="00E26C6B"/>
    <w:rsid w:val="00E370D8"/>
    <w:rsid w:val="00E43841"/>
    <w:rsid w:val="00E466BD"/>
    <w:rsid w:val="00E46AB2"/>
    <w:rsid w:val="00E50BBF"/>
    <w:rsid w:val="00E52068"/>
    <w:rsid w:val="00E529D7"/>
    <w:rsid w:val="00E54E85"/>
    <w:rsid w:val="00E619FE"/>
    <w:rsid w:val="00E62C17"/>
    <w:rsid w:val="00E639EA"/>
    <w:rsid w:val="00E648A1"/>
    <w:rsid w:val="00E6782C"/>
    <w:rsid w:val="00E702DF"/>
    <w:rsid w:val="00E73978"/>
    <w:rsid w:val="00E7422A"/>
    <w:rsid w:val="00E76531"/>
    <w:rsid w:val="00E835DA"/>
    <w:rsid w:val="00E93D36"/>
    <w:rsid w:val="00E96918"/>
    <w:rsid w:val="00EA5430"/>
    <w:rsid w:val="00EA63B0"/>
    <w:rsid w:val="00EB169B"/>
    <w:rsid w:val="00EB19DB"/>
    <w:rsid w:val="00EB311F"/>
    <w:rsid w:val="00EB3CD9"/>
    <w:rsid w:val="00EB48E6"/>
    <w:rsid w:val="00EB524E"/>
    <w:rsid w:val="00EB5BDA"/>
    <w:rsid w:val="00EB6AD1"/>
    <w:rsid w:val="00EB7BCF"/>
    <w:rsid w:val="00EB7CF7"/>
    <w:rsid w:val="00EC06AD"/>
    <w:rsid w:val="00EC37FA"/>
    <w:rsid w:val="00ED1F2A"/>
    <w:rsid w:val="00ED5C37"/>
    <w:rsid w:val="00EE0EE8"/>
    <w:rsid w:val="00EE1E41"/>
    <w:rsid w:val="00EE7905"/>
    <w:rsid w:val="00EF06A9"/>
    <w:rsid w:val="00EF0AB1"/>
    <w:rsid w:val="00EF2979"/>
    <w:rsid w:val="00EF5835"/>
    <w:rsid w:val="00F0084D"/>
    <w:rsid w:val="00F0211B"/>
    <w:rsid w:val="00F05D6C"/>
    <w:rsid w:val="00F13889"/>
    <w:rsid w:val="00F17F56"/>
    <w:rsid w:val="00F22230"/>
    <w:rsid w:val="00F232F9"/>
    <w:rsid w:val="00F324AC"/>
    <w:rsid w:val="00F3666A"/>
    <w:rsid w:val="00F401A9"/>
    <w:rsid w:val="00F40C17"/>
    <w:rsid w:val="00F43675"/>
    <w:rsid w:val="00F514FB"/>
    <w:rsid w:val="00F62668"/>
    <w:rsid w:val="00F626E6"/>
    <w:rsid w:val="00F63521"/>
    <w:rsid w:val="00F63ADB"/>
    <w:rsid w:val="00F641F4"/>
    <w:rsid w:val="00F7004A"/>
    <w:rsid w:val="00F77CD8"/>
    <w:rsid w:val="00F80DBA"/>
    <w:rsid w:val="00F81A15"/>
    <w:rsid w:val="00F846F8"/>
    <w:rsid w:val="00F84DF9"/>
    <w:rsid w:val="00F866AE"/>
    <w:rsid w:val="00F953B7"/>
    <w:rsid w:val="00FA04D7"/>
    <w:rsid w:val="00FA1DD1"/>
    <w:rsid w:val="00FA46B1"/>
    <w:rsid w:val="00FA6C12"/>
    <w:rsid w:val="00FB0CC2"/>
    <w:rsid w:val="00FB3644"/>
    <w:rsid w:val="00FB5E18"/>
    <w:rsid w:val="00FB6E74"/>
    <w:rsid w:val="00FC6497"/>
    <w:rsid w:val="00FD6C51"/>
    <w:rsid w:val="00FD7819"/>
    <w:rsid w:val="00FD7827"/>
    <w:rsid w:val="00FE3E2D"/>
    <w:rsid w:val="00FE4729"/>
    <w:rsid w:val="00FE4870"/>
    <w:rsid w:val="00FE7796"/>
    <w:rsid w:val="00FE7939"/>
    <w:rsid w:val="00FF26F8"/>
    <w:rsid w:val="00FF630C"/>
    <w:rsid w:val="00FF797A"/>
    <w:rsid w:val="00FF7E63"/>
    <w:rsid w:val="015A2EF6"/>
    <w:rsid w:val="016F1630"/>
    <w:rsid w:val="017B2F92"/>
    <w:rsid w:val="01B82438"/>
    <w:rsid w:val="01C04055"/>
    <w:rsid w:val="020B07BA"/>
    <w:rsid w:val="02240460"/>
    <w:rsid w:val="02595BF1"/>
    <w:rsid w:val="02A90759"/>
    <w:rsid w:val="02EA45E5"/>
    <w:rsid w:val="03D60954"/>
    <w:rsid w:val="03FE7EAB"/>
    <w:rsid w:val="051B33D8"/>
    <w:rsid w:val="0542071A"/>
    <w:rsid w:val="05836985"/>
    <w:rsid w:val="05EA04F9"/>
    <w:rsid w:val="067A5A37"/>
    <w:rsid w:val="06827293"/>
    <w:rsid w:val="071750EE"/>
    <w:rsid w:val="07911761"/>
    <w:rsid w:val="07A15E73"/>
    <w:rsid w:val="07A77438"/>
    <w:rsid w:val="07B40F6D"/>
    <w:rsid w:val="07C03DF5"/>
    <w:rsid w:val="07C5765D"/>
    <w:rsid w:val="07D76026"/>
    <w:rsid w:val="07DE0F9D"/>
    <w:rsid w:val="080473AD"/>
    <w:rsid w:val="081450A2"/>
    <w:rsid w:val="08251EAA"/>
    <w:rsid w:val="08381BDD"/>
    <w:rsid w:val="084F1053"/>
    <w:rsid w:val="08505BA2"/>
    <w:rsid w:val="088D1DF0"/>
    <w:rsid w:val="08F84539"/>
    <w:rsid w:val="0902043D"/>
    <w:rsid w:val="09110BBE"/>
    <w:rsid w:val="09320194"/>
    <w:rsid w:val="094842BE"/>
    <w:rsid w:val="09621309"/>
    <w:rsid w:val="09BD1842"/>
    <w:rsid w:val="0A3A07BE"/>
    <w:rsid w:val="0A3D2B28"/>
    <w:rsid w:val="0A47658D"/>
    <w:rsid w:val="0A7B1AD2"/>
    <w:rsid w:val="0A7B3A41"/>
    <w:rsid w:val="0AA2397E"/>
    <w:rsid w:val="0AA27E70"/>
    <w:rsid w:val="0B280094"/>
    <w:rsid w:val="0B9E1A04"/>
    <w:rsid w:val="0BCC7760"/>
    <w:rsid w:val="0BD54DED"/>
    <w:rsid w:val="0BF67DED"/>
    <w:rsid w:val="0C590374"/>
    <w:rsid w:val="0C782EF0"/>
    <w:rsid w:val="0C9615C8"/>
    <w:rsid w:val="0C973BF0"/>
    <w:rsid w:val="0CCC323C"/>
    <w:rsid w:val="0D447276"/>
    <w:rsid w:val="0D465CAD"/>
    <w:rsid w:val="0D740D05"/>
    <w:rsid w:val="0D8633EB"/>
    <w:rsid w:val="0D8D4779"/>
    <w:rsid w:val="0D9C5DE6"/>
    <w:rsid w:val="0DB87F25"/>
    <w:rsid w:val="0E2E3675"/>
    <w:rsid w:val="0E8941C1"/>
    <w:rsid w:val="0EBA1AA6"/>
    <w:rsid w:val="0EF92712"/>
    <w:rsid w:val="0F0E18EA"/>
    <w:rsid w:val="0F1462F9"/>
    <w:rsid w:val="0FA46C90"/>
    <w:rsid w:val="107D6195"/>
    <w:rsid w:val="108A4FA0"/>
    <w:rsid w:val="10A33121"/>
    <w:rsid w:val="114F61E9"/>
    <w:rsid w:val="119E5E91"/>
    <w:rsid w:val="11AE6F28"/>
    <w:rsid w:val="127054CF"/>
    <w:rsid w:val="12C97C22"/>
    <w:rsid w:val="12DA1AE3"/>
    <w:rsid w:val="12E02220"/>
    <w:rsid w:val="12FA7023"/>
    <w:rsid w:val="131A48F3"/>
    <w:rsid w:val="132F3F4B"/>
    <w:rsid w:val="134A459D"/>
    <w:rsid w:val="136B256C"/>
    <w:rsid w:val="13746AB6"/>
    <w:rsid w:val="139144DC"/>
    <w:rsid w:val="13AF3D53"/>
    <w:rsid w:val="141D5087"/>
    <w:rsid w:val="14661880"/>
    <w:rsid w:val="148174AB"/>
    <w:rsid w:val="154D73B5"/>
    <w:rsid w:val="155216CE"/>
    <w:rsid w:val="15995993"/>
    <w:rsid w:val="15B829FB"/>
    <w:rsid w:val="15E06C6E"/>
    <w:rsid w:val="15F86D96"/>
    <w:rsid w:val="166A6C2E"/>
    <w:rsid w:val="16EF1057"/>
    <w:rsid w:val="16FB6BF7"/>
    <w:rsid w:val="17365E81"/>
    <w:rsid w:val="177E0285"/>
    <w:rsid w:val="177F0963"/>
    <w:rsid w:val="17E12A33"/>
    <w:rsid w:val="18353E2F"/>
    <w:rsid w:val="18355624"/>
    <w:rsid w:val="183B34A8"/>
    <w:rsid w:val="183F5705"/>
    <w:rsid w:val="18615ABC"/>
    <w:rsid w:val="188F365D"/>
    <w:rsid w:val="18BB4304"/>
    <w:rsid w:val="18C24DAB"/>
    <w:rsid w:val="18DC4C49"/>
    <w:rsid w:val="18FA0232"/>
    <w:rsid w:val="19011919"/>
    <w:rsid w:val="1931161A"/>
    <w:rsid w:val="197D694C"/>
    <w:rsid w:val="19E5059D"/>
    <w:rsid w:val="19F05D1A"/>
    <w:rsid w:val="1A083440"/>
    <w:rsid w:val="1A247C22"/>
    <w:rsid w:val="1A276D4A"/>
    <w:rsid w:val="1A2D3B01"/>
    <w:rsid w:val="1A4A5F34"/>
    <w:rsid w:val="1A7B025A"/>
    <w:rsid w:val="1B5914D6"/>
    <w:rsid w:val="1B705953"/>
    <w:rsid w:val="1B8A22F8"/>
    <w:rsid w:val="1B8F1832"/>
    <w:rsid w:val="1B8F5B60"/>
    <w:rsid w:val="1BC709D8"/>
    <w:rsid w:val="1BD81F9A"/>
    <w:rsid w:val="1C253579"/>
    <w:rsid w:val="1C4E77C9"/>
    <w:rsid w:val="1C560BCE"/>
    <w:rsid w:val="1C5F3784"/>
    <w:rsid w:val="1C775D7C"/>
    <w:rsid w:val="1C7859F2"/>
    <w:rsid w:val="1D313C12"/>
    <w:rsid w:val="1D575AFF"/>
    <w:rsid w:val="1D5F19BA"/>
    <w:rsid w:val="1D7B7E7D"/>
    <w:rsid w:val="1DC572EB"/>
    <w:rsid w:val="1DE62869"/>
    <w:rsid w:val="1E810B88"/>
    <w:rsid w:val="1ECC4BCA"/>
    <w:rsid w:val="1EDA07E2"/>
    <w:rsid w:val="1F29007A"/>
    <w:rsid w:val="1F9361C9"/>
    <w:rsid w:val="204078B6"/>
    <w:rsid w:val="211A3E94"/>
    <w:rsid w:val="21342D9D"/>
    <w:rsid w:val="213435FE"/>
    <w:rsid w:val="21472A39"/>
    <w:rsid w:val="2160499E"/>
    <w:rsid w:val="21685CBF"/>
    <w:rsid w:val="217413A5"/>
    <w:rsid w:val="21CD53F4"/>
    <w:rsid w:val="221A7024"/>
    <w:rsid w:val="224E42B4"/>
    <w:rsid w:val="224F33FC"/>
    <w:rsid w:val="22570939"/>
    <w:rsid w:val="225A1712"/>
    <w:rsid w:val="22E449E3"/>
    <w:rsid w:val="22EC7015"/>
    <w:rsid w:val="22FA3C6C"/>
    <w:rsid w:val="230E512F"/>
    <w:rsid w:val="2323150D"/>
    <w:rsid w:val="23313DB7"/>
    <w:rsid w:val="2344215E"/>
    <w:rsid w:val="234E00AF"/>
    <w:rsid w:val="23C44815"/>
    <w:rsid w:val="242E23C5"/>
    <w:rsid w:val="24541E73"/>
    <w:rsid w:val="24AD7057"/>
    <w:rsid w:val="24AE622F"/>
    <w:rsid w:val="24E50990"/>
    <w:rsid w:val="24F74FE4"/>
    <w:rsid w:val="25553977"/>
    <w:rsid w:val="25D02849"/>
    <w:rsid w:val="25D52D09"/>
    <w:rsid w:val="25E259A5"/>
    <w:rsid w:val="261421EF"/>
    <w:rsid w:val="267A6873"/>
    <w:rsid w:val="275C758B"/>
    <w:rsid w:val="27C47329"/>
    <w:rsid w:val="27CA0D8A"/>
    <w:rsid w:val="27CE397B"/>
    <w:rsid w:val="280B47C0"/>
    <w:rsid w:val="28247FAD"/>
    <w:rsid w:val="28AF6A4A"/>
    <w:rsid w:val="28E2379B"/>
    <w:rsid w:val="28E33CFA"/>
    <w:rsid w:val="28E60FE4"/>
    <w:rsid w:val="28F33BD2"/>
    <w:rsid w:val="29567043"/>
    <w:rsid w:val="299D0969"/>
    <w:rsid w:val="2A0A6BB0"/>
    <w:rsid w:val="2B1514C9"/>
    <w:rsid w:val="2B856638"/>
    <w:rsid w:val="2C4E4387"/>
    <w:rsid w:val="2CAE5655"/>
    <w:rsid w:val="2D275D8B"/>
    <w:rsid w:val="2D2D34D0"/>
    <w:rsid w:val="2D410C84"/>
    <w:rsid w:val="2D88252C"/>
    <w:rsid w:val="2D972CA6"/>
    <w:rsid w:val="2DA76D39"/>
    <w:rsid w:val="2DCF0DA2"/>
    <w:rsid w:val="2DEA131C"/>
    <w:rsid w:val="2E01276E"/>
    <w:rsid w:val="2E0A3D14"/>
    <w:rsid w:val="2EBE11B3"/>
    <w:rsid w:val="2F3F109E"/>
    <w:rsid w:val="2F52409F"/>
    <w:rsid w:val="2F69132B"/>
    <w:rsid w:val="2F6C2A52"/>
    <w:rsid w:val="2F923A19"/>
    <w:rsid w:val="30074AB9"/>
    <w:rsid w:val="3084316A"/>
    <w:rsid w:val="30BE3A2F"/>
    <w:rsid w:val="313562F5"/>
    <w:rsid w:val="313E0EC8"/>
    <w:rsid w:val="31657184"/>
    <w:rsid w:val="31780141"/>
    <w:rsid w:val="31BA0D27"/>
    <w:rsid w:val="31CE61FD"/>
    <w:rsid w:val="31D71652"/>
    <w:rsid w:val="324803BF"/>
    <w:rsid w:val="326C67A7"/>
    <w:rsid w:val="32B72826"/>
    <w:rsid w:val="32E83AB5"/>
    <w:rsid w:val="336013C7"/>
    <w:rsid w:val="340A6274"/>
    <w:rsid w:val="340E597F"/>
    <w:rsid w:val="341B234C"/>
    <w:rsid w:val="342921D6"/>
    <w:rsid w:val="34CB3389"/>
    <w:rsid w:val="35325790"/>
    <w:rsid w:val="354B2701"/>
    <w:rsid w:val="35951B6D"/>
    <w:rsid w:val="35D11B5A"/>
    <w:rsid w:val="35E238E6"/>
    <w:rsid w:val="361613EB"/>
    <w:rsid w:val="363A3342"/>
    <w:rsid w:val="365E3C03"/>
    <w:rsid w:val="36902F82"/>
    <w:rsid w:val="36CF10AF"/>
    <w:rsid w:val="36D9126B"/>
    <w:rsid w:val="36DD37CC"/>
    <w:rsid w:val="370467C4"/>
    <w:rsid w:val="374D0080"/>
    <w:rsid w:val="376C592E"/>
    <w:rsid w:val="37751C56"/>
    <w:rsid w:val="37753A04"/>
    <w:rsid w:val="37A134E2"/>
    <w:rsid w:val="37B5046F"/>
    <w:rsid w:val="37DD35FF"/>
    <w:rsid w:val="37DE3C9F"/>
    <w:rsid w:val="37EB517D"/>
    <w:rsid w:val="380134EA"/>
    <w:rsid w:val="38666AF6"/>
    <w:rsid w:val="386E4E68"/>
    <w:rsid w:val="394A0EC1"/>
    <w:rsid w:val="3958538C"/>
    <w:rsid w:val="3978264B"/>
    <w:rsid w:val="39D51F9B"/>
    <w:rsid w:val="39FC665F"/>
    <w:rsid w:val="3A165FCA"/>
    <w:rsid w:val="3A2443AC"/>
    <w:rsid w:val="3ABB53D1"/>
    <w:rsid w:val="3ABD5DEE"/>
    <w:rsid w:val="3B2448AC"/>
    <w:rsid w:val="3B5F3D5F"/>
    <w:rsid w:val="3B8C30C5"/>
    <w:rsid w:val="3C0551C5"/>
    <w:rsid w:val="3C445311"/>
    <w:rsid w:val="3C5C1231"/>
    <w:rsid w:val="3C731C15"/>
    <w:rsid w:val="3C964F87"/>
    <w:rsid w:val="3CCE67A9"/>
    <w:rsid w:val="3CF47AC1"/>
    <w:rsid w:val="3D233F03"/>
    <w:rsid w:val="3D6F1D21"/>
    <w:rsid w:val="3DB01C3A"/>
    <w:rsid w:val="3DB84C51"/>
    <w:rsid w:val="3E0140E6"/>
    <w:rsid w:val="3E461B87"/>
    <w:rsid w:val="3E52684D"/>
    <w:rsid w:val="3E801E27"/>
    <w:rsid w:val="3E907A7A"/>
    <w:rsid w:val="3E9A5091"/>
    <w:rsid w:val="3EC9046B"/>
    <w:rsid w:val="3F9E020A"/>
    <w:rsid w:val="3FA74D13"/>
    <w:rsid w:val="3FAA176B"/>
    <w:rsid w:val="3FD04679"/>
    <w:rsid w:val="401753E8"/>
    <w:rsid w:val="407A208B"/>
    <w:rsid w:val="40B3559D"/>
    <w:rsid w:val="40D061C9"/>
    <w:rsid w:val="40EF4827"/>
    <w:rsid w:val="40F51503"/>
    <w:rsid w:val="412546ED"/>
    <w:rsid w:val="41642F23"/>
    <w:rsid w:val="417122BD"/>
    <w:rsid w:val="41967935"/>
    <w:rsid w:val="41AE6E43"/>
    <w:rsid w:val="41F2280A"/>
    <w:rsid w:val="42017A44"/>
    <w:rsid w:val="422A79F0"/>
    <w:rsid w:val="42770F78"/>
    <w:rsid w:val="42B2629D"/>
    <w:rsid w:val="43DC5FD2"/>
    <w:rsid w:val="44245BEB"/>
    <w:rsid w:val="4439400C"/>
    <w:rsid w:val="443B315F"/>
    <w:rsid w:val="445B0B70"/>
    <w:rsid w:val="448E2B87"/>
    <w:rsid w:val="448F5EE9"/>
    <w:rsid w:val="44A1408B"/>
    <w:rsid w:val="44BC214A"/>
    <w:rsid w:val="450562E2"/>
    <w:rsid w:val="4599131A"/>
    <w:rsid w:val="45A831F7"/>
    <w:rsid w:val="45C2519E"/>
    <w:rsid w:val="45D66010"/>
    <w:rsid w:val="45D910A5"/>
    <w:rsid w:val="463E1227"/>
    <w:rsid w:val="469F3F0A"/>
    <w:rsid w:val="46B34549"/>
    <w:rsid w:val="46F634CC"/>
    <w:rsid w:val="473E77D2"/>
    <w:rsid w:val="476F0038"/>
    <w:rsid w:val="47DD2F86"/>
    <w:rsid w:val="47FE19DE"/>
    <w:rsid w:val="48010F99"/>
    <w:rsid w:val="48130A04"/>
    <w:rsid w:val="4828061F"/>
    <w:rsid w:val="484503EA"/>
    <w:rsid w:val="485A0F31"/>
    <w:rsid w:val="48A71486"/>
    <w:rsid w:val="48C71B3B"/>
    <w:rsid w:val="497E0E3E"/>
    <w:rsid w:val="49F41238"/>
    <w:rsid w:val="4A245E96"/>
    <w:rsid w:val="4A3A2589"/>
    <w:rsid w:val="4A510301"/>
    <w:rsid w:val="4A5D3462"/>
    <w:rsid w:val="4A68543C"/>
    <w:rsid w:val="4A791EC3"/>
    <w:rsid w:val="4ABF1DE6"/>
    <w:rsid w:val="4B1269E6"/>
    <w:rsid w:val="4B591A7E"/>
    <w:rsid w:val="4BD634C2"/>
    <w:rsid w:val="4BF37045"/>
    <w:rsid w:val="4C25217C"/>
    <w:rsid w:val="4C4A2017"/>
    <w:rsid w:val="4C866811"/>
    <w:rsid w:val="4CE0405B"/>
    <w:rsid w:val="4D455DAD"/>
    <w:rsid w:val="4D7A5E5A"/>
    <w:rsid w:val="4D9E34D3"/>
    <w:rsid w:val="4DD821EC"/>
    <w:rsid w:val="4DFC67D6"/>
    <w:rsid w:val="4E4D7FD9"/>
    <w:rsid w:val="4EC92AC5"/>
    <w:rsid w:val="4EF02E57"/>
    <w:rsid w:val="4F477F24"/>
    <w:rsid w:val="4F660588"/>
    <w:rsid w:val="4F720AD7"/>
    <w:rsid w:val="4FB1480F"/>
    <w:rsid w:val="4FB530E0"/>
    <w:rsid w:val="4FC95BFB"/>
    <w:rsid w:val="4FE65313"/>
    <w:rsid w:val="501F7C2E"/>
    <w:rsid w:val="50B25A3B"/>
    <w:rsid w:val="50B976C5"/>
    <w:rsid w:val="50E52366"/>
    <w:rsid w:val="50FA39A9"/>
    <w:rsid w:val="50FB2112"/>
    <w:rsid w:val="51024C46"/>
    <w:rsid w:val="51052264"/>
    <w:rsid w:val="512C1E84"/>
    <w:rsid w:val="515C3A4F"/>
    <w:rsid w:val="519A0AD7"/>
    <w:rsid w:val="51D75590"/>
    <w:rsid w:val="52D07091"/>
    <w:rsid w:val="52DD3D7A"/>
    <w:rsid w:val="531830CB"/>
    <w:rsid w:val="531F4663"/>
    <w:rsid w:val="536E6CFB"/>
    <w:rsid w:val="53A63921"/>
    <w:rsid w:val="53A83B6F"/>
    <w:rsid w:val="53B27ADE"/>
    <w:rsid w:val="53C62458"/>
    <w:rsid w:val="53FC3D5A"/>
    <w:rsid w:val="545F2FF8"/>
    <w:rsid w:val="54607EB3"/>
    <w:rsid w:val="549A6186"/>
    <w:rsid w:val="549F6F41"/>
    <w:rsid w:val="54E22C26"/>
    <w:rsid w:val="550F2A8B"/>
    <w:rsid w:val="554D0511"/>
    <w:rsid w:val="558A46C7"/>
    <w:rsid w:val="55A03EEB"/>
    <w:rsid w:val="56143ED3"/>
    <w:rsid w:val="561D378D"/>
    <w:rsid w:val="56371A62"/>
    <w:rsid w:val="565019E7"/>
    <w:rsid w:val="566768C5"/>
    <w:rsid w:val="56815ACA"/>
    <w:rsid w:val="569D04EC"/>
    <w:rsid w:val="56DC53F6"/>
    <w:rsid w:val="56F20776"/>
    <w:rsid w:val="570E4A92"/>
    <w:rsid w:val="575256B8"/>
    <w:rsid w:val="57574A7D"/>
    <w:rsid w:val="57A10D54"/>
    <w:rsid w:val="57B343A9"/>
    <w:rsid w:val="5824511F"/>
    <w:rsid w:val="58A2566F"/>
    <w:rsid w:val="58C43F49"/>
    <w:rsid w:val="58C606A2"/>
    <w:rsid w:val="590429E2"/>
    <w:rsid w:val="590824D3"/>
    <w:rsid w:val="5A096502"/>
    <w:rsid w:val="5A1B4488"/>
    <w:rsid w:val="5A2413B5"/>
    <w:rsid w:val="5A5868B8"/>
    <w:rsid w:val="5AAE65CC"/>
    <w:rsid w:val="5B0A1C1C"/>
    <w:rsid w:val="5B11685E"/>
    <w:rsid w:val="5BB66216"/>
    <w:rsid w:val="5BFB14F3"/>
    <w:rsid w:val="5C125E56"/>
    <w:rsid w:val="5C3727C0"/>
    <w:rsid w:val="5C63011B"/>
    <w:rsid w:val="5C7747AB"/>
    <w:rsid w:val="5C806824"/>
    <w:rsid w:val="5C8812A8"/>
    <w:rsid w:val="5CB6590F"/>
    <w:rsid w:val="5CB87D6C"/>
    <w:rsid w:val="5CDF4F79"/>
    <w:rsid w:val="5CED3974"/>
    <w:rsid w:val="5CF321ED"/>
    <w:rsid w:val="5CF42AA5"/>
    <w:rsid w:val="5D8D7CDF"/>
    <w:rsid w:val="5DBD68BF"/>
    <w:rsid w:val="5DFB2606"/>
    <w:rsid w:val="5E504541"/>
    <w:rsid w:val="5EB558FD"/>
    <w:rsid w:val="5F3545E4"/>
    <w:rsid w:val="5F593A88"/>
    <w:rsid w:val="5F707766"/>
    <w:rsid w:val="5FA01D72"/>
    <w:rsid w:val="5FDF49B5"/>
    <w:rsid w:val="5FF52853"/>
    <w:rsid w:val="60332AEB"/>
    <w:rsid w:val="605D1D66"/>
    <w:rsid w:val="60681499"/>
    <w:rsid w:val="60E27FB6"/>
    <w:rsid w:val="60E52FF2"/>
    <w:rsid w:val="611936C7"/>
    <w:rsid w:val="61C028BB"/>
    <w:rsid w:val="61C15EAA"/>
    <w:rsid w:val="61F24CFE"/>
    <w:rsid w:val="621C4335"/>
    <w:rsid w:val="62243851"/>
    <w:rsid w:val="62EB414C"/>
    <w:rsid w:val="630D7CD1"/>
    <w:rsid w:val="63773FEC"/>
    <w:rsid w:val="63CC6037"/>
    <w:rsid w:val="63D039B1"/>
    <w:rsid w:val="63D76B10"/>
    <w:rsid w:val="63D85526"/>
    <w:rsid w:val="63E51C39"/>
    <w:rsid w:val="63E92EC3"/>
    <w:rsid w:val="644665A5"/>
    <w:rsid w:val="64514634"/>
    <w:rsid w:val="645F71A5"/>
    <w:rsid w:val="649B443C"/>
    <w:rsid w:val="64CA4AE0"/>
    <w:rsid w:val="65046CE4"/>
    <w:rsid w:val="65460C9A"/>
    <w:rsid w:val="658F18E4"/>
    <w:rsid w:val="659836EC"/>
    <w:rsid w:val="65A26519"/>
    <w:rsid w:val="65BC6578"/>
    <w:rsid w:val="65F56899"/>
    <w:rsid w:val="66561C9D"/>
    <w:rsid w:val="668533B4"/>
    <w:rsid w:val="668C3778"/>
    <w:rsid w:val="66B939DD"/>
    <w:rsid w:val="66D97CF6"/>
    <w:rsid w:val="66DA620B"/>
    <w:rsid w:val="66F32FD6"/>
    <w:rsid w:val="66FA0288"/>
    <w:rsid w:val="674A0C9B"/>
    <w:rsid w:val="677D408C"/>
    <w:rsid w:val="67EF1172"/>
    <w:rsid w:val="68152516"/>
    <w:rsid w:val="681F15E7"/>
    <w:rsid w:val="68391EB5"/>
    <w:rsid w:val="685017A0"/>
    <w:rsid w:val="686139AD"/>
    <w:rsid w:val="689526D7"/>
    <w:rsid w:val="68AA0EB0"/>
    <w:rsid w:val="68CB4BA8"/>
    <w:rsid w:val="68FC1BD8"/>
    <w:rsid w:val="692924A9"/>
    <w:rsid w:val="693C671A"/>
    <w:rsid w:val="6947362B"/>
    <w:rsid w:val="69AC6EAA"/>
    <w:rsid w:val="69C97A5C"/>
    <w:rsid w:val="69DA16F0"/>
    <w:rsid w:val="69DA3A17"/>
    <w:rsid w:val="6A755A31"/>
    <w:rsid w:val="6A8C5CDA"/>
    <w:rsid w:val="6AB029CA"/>
    <w:rsid w:val="6ADB1427"/>
    <w:rsid w:val="6B3759A6"/>
    <w:rsid w:val="6B425FE4"/>
    <w:rsid w:val="6B7F19CC"/>
    <w:rsid w:val="6B882FFF"/>
    <w:rsid w:val="6BF012D0"/>
    <w:rsid w:val="6C197A9F"/>
    <w:rsid w:val="6C2822E7"/>
    <w:rsid w:val="6C4D7040"/>
    <w:rsid w:val="6C691DB1"/>
    <w:rsid w:val="6C9D3600"/>
    <w:rsid w:val="6E135433"/>
    <w:rsid w:val="6E2426B1"/>
    <w:rsid w:val="6E6E0BD2"/>
    <w:rsid w:val="6EA55001"/>
    <w:rsid w:val="6EAD64C8"/>
    <w:rsid w:val="6F472BFF"/>
    <w:rsid w:val="6F564423"/>
    <w:rsid w:val="6F935B0D"/>
    <w:rsid w:val="6FAA405D"/>
    <w:rsid w:val="701D6A44"/>
    <w:rsid w:val="702F3C43"/>
    <w:rsid w:val="70717B24"/>
    <w:rsid w:val="70C846C9"/>
    <w:rsid w:val="71583B18"/>
    <w:rsid w:val="716C3313"/>
    <w:rsid w:val="71B4396F"/>
    <w:rsid w:val="71B50DB3"/>
    <w:rsid w:val="72314676"/>
    <w:rsid w:val="72670BE1"/>
    <w:rsid w:val="734737A0"/>
    <w:rsid w:val="735A1725"/>
    <w:rsid w:val="73775A47"/>
    <w:rsid w:val="73785733"/>
    <w:rsid w:val="73D44AB9"/>
    <w:rsid w:val="74035919"/>
    <w:rsid w:val="74AA3DA5"/>
    <w:rsid w:val="74CA5F2D"/>
    <w:rsid w:val="74E92EE9"/>
    <w:rsid w:val="74FC5C7E"/>
    <w:rsid w:val="750B717B"/>
    <w:rsid w:val="752D29C0"/>
    <w:rsid w:val="753D30AC"/>
    <w:rsid w:val="755C3532"/>
    <w:rsid w:val="755E4E03"/>
    <w:rsid w:val="75A84614"/>
    <w:rsid w:val="75BA5FE0"/>
    <w:rsid w:val="75C811F1"/>
    <w:rsid w:val="760E1C5E"/>
    <w:rsid w:val="76CB2B79"/>
    <w:rsid w:val="770F6259"/>
    <w:rsid w:val="77295CFD"/>
    <w:rsid w:val="774F27BD"/>
    <w:rsid w:val="778D1F6A"/>
    <w:rsid w:val="77953ACE"/>
    <w:rsid w:val="7905796F"/>
    <w:rsid w:val="790F6B0E"/>
    <w:rsid w:val="79192297"/>
    <w:rsid w:val="796C21B2"/>
    <w:rsid w:val="796E1032"/>
    <w:rsid w:val="797631A2"/>
    <w:rsid w:val="7979203A"/>
    <w:rsid w:val="797B4453"/>
    <w:rsid w:val="79AC5C90"/>
    <w:rsid w:val="7A6D61E2"/>
    <w:rsid w:val="7A846822"/>
    <w:rsid w:val="7A996A5C"/>
    <w:rsid w:val="7AB3068D"/>
    <w:rsid w:val="7B004913"/>
    <w:rsid w:val="7B2D21DE"/>
    <w:rsid w:val="7B902188"/>
    <w:rsid w:val="7BA23C3C"/>
    <w:rsid w:val="7BAE0EFE"/>
    <w:rsid w:val="7BBF3986"/>
    <w:rsid w:val="7BE70272"/>
    <w:rsid w:val="7BF17F9E"/>
    <w:rsid w:val="7BF50268"/>
    <w:rsid w:val="7C2C0A33"/>
    <w:rsid w:val="7C2D75A3"/>
    <w:rsid w:val="7C376AA7"/>
    <w:rsid w:val="7C644C16"/>
    <w:rsid w:val="7C733254"/>
    <w:rsid w:val="7C86578E"/>
    <w:rsid w:val="7C8E388C"/>
    <w:rsid w:val="7CFB6A5E"/>
    <w:rsid w:val="7D23702C"/>
    <w:rsid w:val="7D250FF6"/>
    <w:rsid w:val="7D646186"/>
    <w:rsid w:val="7D81659A"/>
    <w:rsid w:val="7DD14F33"/>
    <w:rsid w:val="7E5356EF"/>
    <w:rsid w:val="7E5E0451"/>
    <w:rsid w:val="7EA62254"/>
    <w:rsid w:val="7EB631C9"/>
    <w:rsid w:val="7F011F11"/>
    <w:rsid w:val="7F475B7A"/>
    <w:rsid w:val="7F715EF5"/>
    <w:rsid w:val="7F7F574F"/>
    <w:rsid w:val="7F963AE5"/>
    <w:rsid w:val="7FA534D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99"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qFormat="1"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99"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qFormat="1" w:uiPriority="0" w:name="Body Text First Indent"/>
    <w:lsdException w:uiPriority="0" w:name="Body Text First Indent 2"/>
    <w:lsdException w:qFormat="1" w:unhideWhenUsed="0" w:uiPriority="0" w:semiHidden="0" w:name="Note Heading"/>
    <w:lsdException w:uiPriority="0" w:name="Body Text 2"/>
    <w:lsdException w:uiPriority="0"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1"/>
      <w:lang w:val="en-US" w:eastAsia="zh-CN" w:bidi="ar-SA"/>
    </w:rPr>
  </w:style>
  <w:style w:type="paragraph" w:styleId="2">
    <w:name w:val="heading 1"/>
    <w:basedOn w:val="1"/>
    <w:next w:val="1"/>
    <w:link w:val="84"/>
    <w:autoRedefine/>
    <w:qFormat/>
    <w:uiPriority w:val="0"/>
    <w:pPr>
      <w:keepNext/>
      <w:keepLines/>
      <w:spacing w:before="340" w:after="330" w:line="578" w:lineRule="auto"/>
      <w:outlineLvl w:val="0"/>
    </w:pPr>
    <w:rPr>
      <w:b/>
      <w:bCs/>
      <w:kern w:val="44"/>
      <w:sz w:val="44"/>
      <w:szCs w:val="44"/>
      <w:lang w:val="zh-CN"/>
    </w:rPr>
  </w:style>
  <w:style w:type="paragraph" w:styleId="3">
    <w:name w:val="heading 3"/>
    <w:basedOn w:val="1"/>
    <w:next w:val="1"/>
    <w:link w:val="57"/>
    <w:qFormat/>
    <w:uiPriority w:val="0"/>
    <w:pPr>
      <w:spacing w:line="360" w:lineRule="auto"/>
      <w:outlineLvl w:val="2"/>
    </w:pPr>
    <w:rPr>
      <w:b/>
      <w:bCs/>
      <w:kern w:val="2"/>
      <w:sz w:val="24"/>
      <w:szCs w:val="28"/>
    </w:rPr>
  </w:style>
  <w:style w:type="paragraph" w:styleId="4">
    <w:name w:val="heading 4"/>
    <w:basedOn w:val="1"/>
    <w:next w:val="1"/>
    <w:link w:val="58"/>
    <w:autoRedefine/>
    <w:qFormat/>
    <w:uiPriority w:val="0"/>
    <w:pPr>
      <w:spacing w:line="360" w:lineRule="auto"/>
      <w:outlineLvl w:val="3"/>
    </w:pPr>
    <w:rPr>
      <w:rFonts w:eastAsia="Times New Roman"/>
      <w:b/>
      <w:bCs/>
      <w:kern w:val="2"/>
      <w:sz w:val="24"/>
      <w:szCs w:val="24"/>
    </w:rPr>
  </w:style>
  <w:style w:type="character" w:default="1" w:styleId="26">
    <w:name w:val="Default Paragraph Font"/>
    <w:semiHidden/>
    <w:unhideWhenUsed/>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5">
    <w:name w:val="Note Heading"/>
    <w:basedOn w:val="1"/>
    <w:next w:val="1"/>
    <w:link w:val="47"/>
    <w:qFormat/>
    <w:uiPriority w:val="0"/>
    <w:pPr>
      <w:spacing w:line="360" w:lineRule="auto"/>
      <w:ind w:firstLine="200" w:firstLineChars="200"/>
      <w:jc w:val="center"/>
    </w:pPr>
    <w:rPr>
      <w:kern w:val="2"/>
      <w:szCs w:val="20"/>
    </w:rPr>
  </w:style>
  <w:style w:type="paragraph" w:styleId="6">
    <w:name w:val="Normal Indent"/>
    <w:basedOn w:val="1"/>
    <w:link w:val="59"/>
    <w:autoRedefine/>
    <w:qFormat/>
    <w:uiPriority w:val="99"/>
    <w:pPr>
      <w:widowControl/>
      <w:ind w:firstLine="420"/>
      <w:jc w:val="left"/>
    </w:pPr>
    <w:rPr>
      <w:sz w:val="20"/>
      <w:szCs w:val="20"/>
    </w:rPr>
  </w:style>
  <w:style w:type="paragraph" w:styleId="7">
    <w:name w:val="annotation text"/>
    <w:basedOn w:val="1"/>
    <w:link w:val="93"/>
    <w:autoRedefine/>
    <w:semiHidden/>
    <w:unhideWhenUsed/>
    <w:qFormat/>
    <w:uiPriority w:val="0"/>
    <w:pPr>
      <w:jc w:val="left"/>
    </w:pPr>
  </w:style>
  <w:style w:type="paragraph" w:styleId="8">
    <w:name w:val="Body Text"/>
    <w:basedOn w:val="1"/>
    <w:next w:val="9"/>
    <w:link w:val="36"/>
    <w:qFormat/>
    <w:uiPriority w:val="99"/>
    <w:pPr>
      <w:autoSpaceDE w:val="0"/>
      <w:autoSpaceDN w:val="0"/>
      <w:jc w:val="left"/>
    </w:pPr>
    <w:rPr>
      <w:rFonts w:ascii="宋体" w:hAnsi="宋体" w:cs="宋体"/>
      <w:sz w:val="24"/>
      <w:szCs w:val="24"/>
    </w:rPr>
  </w:style>
  <w:style w:type="paragraph" w:styleId="9">
    <w:name w:val="toc 1"/>
    <w:basedOn w:val="1"/>
    <w:next w:val="1"/>
    <w:qFormat/>
    <w:uiPriority w:val="39"/>
  </w:style>
  <w:style w:type="paragraph" w:styleId="10">
    <w:name w:val="Body Text Indent"/>
    <w:basedOn w:val="1"/>
    <w:link w:val="48"/>
    <w:qFormat/>
    <w:uiPriority w:val="0"/>
    <w:pPr>
      <w:spacing w:after="120"/>
      <w:ind w:left="420" w:leftChars="200"/>
    </w:pPr>
  </w:style>
  <w:style w:type="paragraph" w:styleId="11">
    <w:name w:val="Block Text"/>
    <w:basedOn w:val="1"/>
    <w:autoRedefine/>
    <w:qFormat/>
    <w:uiPriority w:val="0"/>
    <w:pPr>
      <w:spacing w:line="360" w:lineRule="exact"/>
      <w:ind w:left="113" w:right="113"/>
      <w:jc w:val="center"/>
    </w:pPr>
    <w:rPr>
      <w:rFonts w:ascii="宋体" w:hAnsi="宋体"/>
      <w:color w:val="000000"/>
      <w:kern w:val="2"/>
      <w:szCs w:val="24"/>
    </w:rPr>
  </w:style>
  <w:style w:type="paragraph" w:styleId="12">
    <w:name w:val="Plain Text"/>
    <w:basedOn w:val="1"/>
    <w:link w:val="63"/>
    <w:autoRedefine/>
    <w:qFormat/>
    <w:uiPriority w:val="0"/>
    <w:rPr>
      <w:rFonts w:ascii="宋体" w:hAnsi="Courier New" w:cs="宋体"/>
      <w:kern w:val="2"/>
    </w:rPr>
  </w:style>
  <w:style w:type="paragraph" w:styleId="13">
    <w:name w:val="List Bullet 5"/>
    <w:basedOn w:val="1"/>
    <w:semiHidden/>
    <w:unhideWhenUsed/>
    <w:qFormat/>
    <w:uiPriority w:val="0"/>
    <w:pPr>
      <w:numPr>
        <w:ilvl w:val="0"/>
        <w:numId w:val="1"/>
      </w:numPr>
    </w:pPr>
  </w:style>
  <w:style w:type="paragraph" w:styleId="14">
    <w:name w:val="Body Text Indent 2"/>
    <w:basedOn w:val="1"/>
    <w:link w:val="64"/>
    <w:autoRedefine/>
    <w:qFormat/>
    <w:uiPriority w:val="99"/>
    <w:pPr>
      <w:spacing w:after="120" w:line="480" w:lineRule="auto"/>
      <w:ind w:left="420" w:leftChars="200"/>
    </w:pPr>
    <w:rPr>
      <w:kern w:val="2"/>
    </w:rPr>
  </w:style>
  <w:style w:type="paragraph" w:styleId="15">
    <w:name w:val="Balloon Text"/>
    <w:basedOn w:val="1"/>
    <w:link w:val="46"/>
    <w:autoRedefine/>
    <w:qFormat/>
    <w:uiPriority w:val="99"/>
    <w:rPr>
      <w:sz w:val="18"/>
      <w:szCs w:val="18"/>
    </w:rPr>
  </w:style>
  <w:style w:type="paragraph" w:styleId="16">
    <w:name w:val="footer"/>
    <w:basedOn w:val="1"/>
    <w:qFormat/>
    <w:uiPriority w:val="0"/>
    <w:pPr>
      <w:tabs>
        <w:tab w:val="center" w:pos="4153"/>
        <w:tab w:val="right" w:pos="8306"/>
      </w:tabs>
      <w:snapToGrid w:val="0"/>
      <w:jc w:val="left"/>
    </w:pPr>
    <w:rPr>
      <w:sz w:val="18"/>
      <w:szCs w:val="20"/>
    </w:rPr>
  </w:style>
  <w:style w:type="paragraph" w:styleId="17">
    <w:name w:val="header"/>
    <w:basedOn w:val="1"/>
    <w:link w:val="35"/>
    <w:qFormat/>
    <w:uiPriority w:val="0"/>
    <w:pPr>
      <w:pBdr>
        <w:bottom w:val="single" w:color="auto" w:sz="6" w:space="1"/>
      </w:pBdr>
      <w:tabs>
        <w:tab w:val="center" w:pos="4153"/>
        <w:tab w:val="right" w:pos="8306"/>
      </w:tabs>
      <w:snapToGrid w:val="0"/>
      <w:jc w:val="center"/>
    </w:pPr>
    <w:rPr>
      <w:sz w:val="18"/>
      <w:szCs w:val="18"/>
    </w:rPr>
  </w:style>
  <w:style w:type="paragraph" w:styleId="18">
    <w:name w:val="List"/>
    <w:basedOn w:val="1"/>
    <w:qFormat/>
    <w:uiPriority w:val="0"/>
    <w:pPr>
      <w:ind w:left="200" w:hanging="200" w:hangingChars="200"/>
    </w:pPr>
  </w:style>
  <w:style w:type="paragraph" w:styleId="19">
    <w:name w:val="Body Text Indent 3"/>
    <w:basedOn w:val="1"/>
    <w:link w:val="73"/>
    <w:autoRedefine/>
    <w:qFormat/>
    <w:uiPriority w:val="99"/>
    <w:pPr>
      <w:spacing w:after="120"/>
      <w:ind w:left="420" w:leftChars="200"/>
    </w:pPr>
    <w:rPr>
      <w:kern w:val="2"/>
      <w:sz w:val="16"/>
      <w:szCs w:val="16"/>
    </w:rPr>
  </w:style>
  <w:style w:type="paragraph" w:styleId="20">
    <w:name w:val="toc 2"/>
    <w:basedOn w:val="1"/>
    <w:next w:val="1"/>
    <w:autoRedefine/>
    <w:qFormat/>
    <w:uiPriority w:val="0"/>
    <w:pPr>
      <w:spacing w:line="360" w:lineRule="auto"/>
      <w:ind w:left="420" w:leftChars="200"/>
    </w:pPr>
    <w:rPr>
      <w:sz w:val="24"/>
    </w:rPr>
  </w:style>
  <w:style w:type="paragraph" w:styleId="21">
    <w:name w:val="Normal (Web)"/>
    <w:basedOn w:val="1"/>
    <w:autoRedefine/>
    <w:qFormat/>
    <w:uiPriority w:val="0"/>
    <w:pPr>
      <w:widowControl/>
      <w:spacing w:before="100" w:beforeAutospacing="1" w:after="100" w:afterAutospacing="1"/>
      <w:jc w:val="left"/>
    </w:pPr>
    <w:rPr>
      <w:rFonts w:ascii="宋体" w:hAnsi="宋体"/>
      <w:sz w:val="24"/>
      <w:szCs w:val="20"/>
    </w:rPr>
  </w:style>
  <w:style w:type="paragraph" w:styleId="22">
    <w:name w:val="annotation subject"/>
    <w:basedOn w:val="7"/>
    <w:next w:val="7"/>
    <w:link w:val="94"/>
    <w:semiHidden/>
    <w:unhideWhenUsed/>
    <w:qFormat/>
    <w:uiPriority w:val="0"/>
    <w:rPr>
      <w:b/>
      <w:bCs/>
    </w:rPr>
  </w:style>
  <w:style w:type="paragraph" w:styleId="23">
    <w:name w:val="Body Text First Indent"/>
    <w:basedOn w:val="8"/>
    <w:next w:val="1"/>
    <w:link w:val="87"/>
    <w:semiHidden/>
    <w:unhideWhenUsed/>
    <w:qFormat/>
    <w:uiPriority w:val="0"/>
    <w:pPr>
      <w:autoSpaceDE/>
      <w:autoSpaceDN/>
      <w:spacing w:after="120"/>
      <w:ind w:firstLine="420" w:firstLineChars="100"/>
      <w:jc w:val="both"/>
    </w:pPr>
    <w:rPr>
      <w:rFonts w:ascii="Times New Roman" w:hAnsi="Times New Roman" w:cs="Times New Roman"/>
      <w:sz w:val="21"/>
      <w:szCs w:val="21"/>
    </w:rPr>
  </w:style>
  <w:style w:type="table" w:styleId="25">
    <w:name w:val="Table Grid"/>
    <w:basedOn w:val="24"/>
    <w:autoRedefine/>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7">
    <w:name w:val="Strong"/>
    <w:basedOn w:val="26"/>
    <w:autoRedefine/>
    <w:qFormat/>
    <w:uiPriority w:val="22"/>
    <w:rPr>
      <w:b/>
      <w:bCs/>
    </w:rPr>
  </w:style>
  <w:style w:type="character" w:styleId="28">
    <w:name w:val="page number"/>
    <w:basedOn w:val="26"/>
    <w:autoRedefine/>
    <w:qFormat/>
    <w:uiPriority w:val="0"/>
  </w:style>
  <w:style w:type="character" w:styleId="29">
    <w:name w:val="Emphasis"/>
    <w:basedOn w:val="26"/>
    <w:autoRedefine/>
    <w:qFormat/>
    <w:uiPriority w:val="20"/>
    <w:rPr>
      <w:i/>
      <w:iCs/>
    </w:rPr>
  </w:style>
  <w:style w:type="character" w:styleId="30">
    <w:name w:val="Hyperlink"/>
    <w:basedOn w:val="26"/>
    <w:autoRedefine/>
    <w:unhideWhenUsed/>
    <w:qFormat/>
    <w:uiPriority w:val="99"/>
    <w:rPr>
      <w:color w:val="0000FF"/>
      <w:u w:val="single"/>
    </w:rPr>
  </w:style>
  <w:style w:type="character" w:styleId="31">
    <w:name w:val="annotation reference"/>
    <w:basedOn w:val="26"/>
    <w:autoRedefine/>
    <w:semiHidden/>
    <w:unhideWhenUsed/>
    <w:qFormat/>
    <w:uiPriority w:val="0"/>
    <w:rPr>
      <w:sz w:val="21"/>
      <w:szCs w:val="21"/>
    </w:rPr>
  </w:style>
  <w:style w:type="paragraph" w:customStyle="1" w:styleId="32">
    <w:name w:val="样式 正文11 + 首行缩进:  2 字符"/>
    <w:basedOn w:val="1"/>
    <w:autoRedefine/>
    <w:qFormat/>
    <w:uiPriority w:val="0"/>
    <w:pPr>
      <w:spacing w:line="500" w:lineRule="exact"/>
      <w:ind w:firstLine="560" w:firstLineChars="200"/>
    </w:pPr>
    <w:rPr>
      <w:rFonts w:ascii="宋体" w:hAnsi="宋体" w:cs="宋体"/>
      <w:color w:val="FF0000"/>
      <w:kern w:val="2"/>
      <w:sz w:val="28"/>
      <w:szCs w:val="28"/>
    </w:rPr>
  </w:style>
  <w:style w:type="paragraph" w:customStyle="1" w:styleId="33">
    <w:name w:val="表格"/>
    <w:basedOn w:val="34"/>
    <w:link w:val="79"/>
    <w:autoRedefine/>
    <w:qFormat/>
    <w:uiPriority w:val="0"/>
    <w:pPr>
      <w:adjustRightInd w:val="0"/>
      <w:snapToGrid w:val="0"/>
      <w:spacing w:beforeLines="10" w:afterLines="10" w:line="259" w:lineRule="auto"/>
      <w:jc w:val="center"/>
    </w:pPr>
    <w:rPr>
      <w:rFonts w:ascii="宋体"/>
      <w:szCs w:val="20"/>
    </w:rPr>
  </w:style>
  <w:style w:type="paragraph" w:customStyle="1" w:styleId="34">
    <w:name w:val="表格格式"/>
    <w:basedOn w:val="1"/>
    <w:autoRedefine/>
    <w:qFormat/>
    <w:uiPriority w:val="0"/>
    <w:pPr>
      <w:jc w:val="left"/>
    </w:pPr>
    <w:rPr>
      <w:rFonts w:ascii="仿宋" w:hAnsi="Times New Roman" w:eastAsia="仿宋" w:cs="Times New Roman"/>
      <w:bCs/>
      <w:color w:val="000000"/>
      <w:kern w:val="0"/>
      <w:szCs w:val="21"/>
    </w:rPr>
  </w:style>
  <w:style w:type="character" w:customStyle="1" w:styleId="35">
    <w:name w:val="页眉 Char"/>
    <w:basedOn w:val="26"/>
    <w:link w:val="17"/>
    <w:qFormat/>
    <w:uiPriority w:val="0"/>
    <w:rPr>
      <w:rFonts w:ascii="Times New Roman" w:hAnsi="Times New Roman" w:eastAsia="宋体" w:cs="Times New Roman"/>
      <w:sz w:val="18"/>
      <w:szCs w:val="18"/>
    </w:rPr>
  </w:style>
  <w:style w:type="character" w:customStyle="1" w:styleId="36">
    <w:name w:val="正文文本 Char"/>
    <w:basedOn w:val="26"/>
    <w:link w:val="8"/>
    <w:autoRedefine/>
    <w:qFormat/>
    <w:uiPriority w:val="99"/>
    <w:rPr>
      <w:rFonts w:ascii="宋体" w:hAnsi="宋体" w:eastAsia="宋体" w:cs="宋体"/>
      <w:sz w:val="24"/>
      <w:szCs w:val="24"/>
    </w:rPr>
  </w:style>
  <w:style w:type="paragraph" w:customStyle="1" w:styleId="37">
    <w:name w:val="标题 31"/>
    <w:basedOn w:val="1"/>
    <w:autoRedefine/>
    <w:qFormat/>
    <w:uiPriority w:val="1"/>
    <w:pPr>
      <w:autoSpaceDE w:val="0"/>
      <w:autoSpaceDN w:val="0"/>
      <w:ind w:left="1058"/>
      <w:jc w:val="left"/>
      <w:outlineLvl w:val="3"/>
    </w:pPr>
    <w:rPr>
      <w:rFonts w:ascii="宋体" w:hAnsi="宋体" w:cs="宋体"/>
      <w:b/>
      <w:bCs/>
      <w:sz w:val="24"/>
      <w:szCs w:val="24"/>
    </w:rPr>
  </w:style>
  <w:style w:type="paragraph" w:customStyle="1" w:styleId="38">
    <w:name w:val="Table Paragraph"/>
    <w:basedOn w:val="1"/>
    <w:qFormat/>
    <w:uiPriority w:val="1"/>
    <w:pPr>
      <w:autoSpaceDE w:val="0"/>
      <w:autoSpaceDN w:val="0"/>
      <w:jc w:val="left"/>
    </w:pPr>
    <w:rPr>
      <w:rFonts w:ascii="宋体" w:hAnsi="宋体" w:cs="宋体"/>
      <w:sz w:val="22"/>
      <w:szCs w:val="22"/>
    </w:rPr>
  </w:style>
  <w:style w:type="paragraph" w:customStyle="1" w:styleId="39">
    <w:name w:val="报告表正文样式1"/>
    <w:basedOn w:val="1"/>
    <w:link w:val="40"/>
    <w:qFormat/>
    <w:uiPriority w:val="0"/>
    <w:pPr>
      <w:spacing w:line="360" w:lineRule="auto"/>
      <w:ind w:firstLine="480" w:firstLineChars="200"/>
    </w:pPr>
    <w:rPr>
      <w:rFonts w:cs="宋体"/>
      <w:kern w:val="2"/>
      <w:sz w:val="24"/>
      <w:szCs w:val="20"/>
    </w:rPr>
  </w:style>
  <w:style w:type="character" w:customStyle="1" w:styleId="40">
    <w:name w:val="报告表正文样式1 Char Char"/>
    <w:link w:val="39"/>
    <w:autoRedefine/>
    <w:qFormat/>
    <w:uiPriority w:val="0"/>
    <w:rPr>
      <w:rFonts w:ascii="Times New Roman" w:hAnsi="Times New Roman" w:eastAsia="宋体" w:cs="宋体"/>
      <w:kern w:val="2"/>
      <w:sz w:val="24"/>
    </w:rPr>
  </w:style>
  <w:style w:type="paragraph" w:customStyle="1" w:styleId="41">
    <w:name w:val="晓丹"/>
    <w:basedOn w:val="23"/>
    <w:link w:val="42"/>
    <w:autoRedefine/>
    <w:qFormat/>
    <w:uiPriority w:val="99"/>
    <w:pPr>
      <w:adjustRightInd w:val="0"/>
      <w:snapToGrid w:val="0"/>
      <w:spacing w:line="360" w:lineRule="auto"/>
      <w:ind w:firstLine="200" w:firstLineChars="200"/>
      <w:textAlignment w:val="baseline"/>
    </w:pPr>
    <w:rPr>
      <w:rFonts w:ascii="宋体" w:hAnsiTheme="minorHAnsi" w:eastAsiaTheme="minorEastAsia" w:cstheme="minorBidi"/>
      <w:color w:val="000000"/>
      <w:spacing w:val="6"/>
      <w:sz w:val="24"/>
    </w:rPr>
  </w:style>
  <w:style w:type="character" w:customStyle="1" w:styleId="42">
    <w:name w:val="晓丹 Char"/>
    <w:link w:val="41"/>
    <w:qFormat/>
    <w:locked/>
    <w:uiPriority w:val="99"/>
    <w:rPr>
      <w:rFonts w:ascii="宋体" w:hAnsi="Times New Roman" w:eastAsia="宋体" w:cs="Times New Roman"/>
      <w:color w:val="000000"/>
      <w:spacing w:val="6"/>
      <w:sz w:val="24"/>
    </w:rPr>
  </w:style>
  <w:style w:type="paragraph" w:customStyle="1" w:styleId="43">
    <w:name w:val="环保表头"/>
    <w:basedOn w:val="1"/>
    <w:next w:val="8"/>
    <w:qFormat/>
    <w:uiPriority w:val="0"/>
    <w:pPr>
      <w:widowControl/>
      <w:spacing w:beforeLines="50" w:after="100" w:afterAutospacing="1"/>
      <w:jc w:val="center"/>
    </w:pPr>
    <w:rPr>
      <w:rFonts w:ascii="宋体" w:hAnsi="宋体" w:eastAsia="Times New Roman"/>
      <w:b/>
      <w:bCs/>
      <w:color w:val="FF0000"/>
    </w:rPr>
  </w:style>
  <w:style w:type="table" w:customStyle="1" w:styleId="44">
    <w:name w:val="Table Normal"/>
    <w:autoRedefine/>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45">
    <w:name w:val="正文文本1"/>
    <w:basedOn w:val="1"/>
    <w:autoRedefine/>
    <w:qFormat/>
    <w:uiPriority w:val="0"/>
    <w:pPr>
      <w:spacing w:line="500" w:lineRule="exact"/>
      <w:ind w:firstLine="200" w:firstLineChars="200"/>
    </w:pPr>
    <w:rPr>
      <w:rFonts w:ascii="宋体" w:hAnsi="宋体" w:cs="宋体"/>
      <w:kern w:val="2"/>
      <w:sz w:val="28"/>
      <w:szCs w:val="28"/>
    </w:rPr>
  </w:style>
  <w:style w:type="character" w:customStyle="1" w:styleId="46">
    <w:name w:val="批注框文本 Char"/>
    <w:basedOn w:val="26"/>
    <w:link w:val="15"/>
    <w:autoRedefine/>
    <w:qFormat/>
    <w:uiPriority w:val="99"/>
    <w:rPr>
      <w:rFonts w:ascii="Times New Roman" w:hAnsi="Times New Roman" w:eastAsia="宋体" w:cs="Times New Roman"/>
      <w:sz w:val="18"/>
      <w:szCs w:val="18"/>
    </w:rPr>
  </w:style>
  <w:style w:type="character" w:customStyle="1" w:styleId="47">
    <w:name w:val="注释标题 Char"/>
    <w:basedOn w:val="26"/>
    <w:link w:val="5"/>
    <w:autoRedefine/>
    <w:qFormat/>
    <w:uiPriority w:val="0"/>
    <w:rPr>
      <w:rFonts w:ascii="Times New Roman" w:hAnsi="Times New Roman" w:eastAsia="宋体" w:cs="Times New Roman"/>
      <w:kern w:val="2"/>
      <w:sz w:val="21"/>
    </w:rPr>
  </w:style>
  <w:style w:type="character" w:customStyle="1" w:styleId="48">
    <w:name w:val="正文文本缩进 Char"/>
    <w:basedOn w:val="26"/>
    <w:link w:val="10"/>
    <w:qFormat/>
    <w:uiPriority w:val="0"/>
    <w:rPr>
      <w:rFonts w:ascii="Times New Roman" w:hAnsi="Times New Roman" w:eastAsia="宋体" w:cs="Times New Roman"/>
      <w:sz w:val="21"/>
      <w:szCs w:val="21"/>
    </w:rPr>
  </w:style>
  <w:style w:type="character" w:customStyle="1" w:styleId="49">
    <w:name w:val="DM表中文字 Char"/>
    <w:link w:val="50"/>
    <w:qFormat/>
    <w:uiPriority w:val="5"/>
    <w:rPr>
      <w:b/>
      <w:sz w:val="21"/>
      <w:szCs w:val="22"/>
      <w:lang w:eastAsia="en-US"/>
    </w:rPr>
  </w:style>
  <w:style w:type="paragraph" w:customStyle="1" w:styleId="50">
    <w:name w:val="DM表中文字"/>
    <w:basedOn w:val="1"/>
    <w:link w:val="49"/>
    <w:autoRedefine/>
    <w:qFormat/>
    <w:uiPriority w:val="5"/>
    <w:pPr>
      <w:spacing w:afterLines="30"/>
      <w:jc w:val="center"/>
    </w:pPr>
    <w:rPr>
      <w:rFonts w:asciiTheme="minorHAnsi" w:hAnsiTheme="minorHAnsi" w:eastAsiaTheme="minorEastAsia" w:cstheme="minorBidi"/>
      <w:b/>
      <w:szCs w:val="22"/>
      <w:lang w:eastAsia="en-US"/>
    </w:rPr>
  </w:style>
  <w:style w:type="character" w:customStyle="1" w:styleId="51">
    <w:name w:val="DM正文 Char"/>
    <w:link w:val="52"/>
    <w:autoRedefine/>
    <w:qFormat/>
    <w:uiPriority w:val="3"/>
    <w:rPr>
      <w:sz w:val="24"/>
    </w:rPr>
  </w:style>
  <w:style w:type="paragraph" w:customStyle="1" w:styleId="52">
    <w:name w:val="DM正文"/>
    <w:basedOn w:val="1"/>
    <w:link w:val="51"/>
    <w:autoRedefine/>
    <w:qFormat/>
    <w:uiPriority w:val="3"/>
    <w:pPr>
      <w:spacing w:line="360" w:lineRule="auto"/>
      <w:ind w:firstLine="200" w:firstLineChars="200"/>
    </w:pPr>
    <w:rPr>
      <w:rFonts w:asciiTheme="minorHAnsi" w:hAnsiTheme="minorHAnsi" w:eastAsiaTheme="minorEastAsia" w:cstheme="minorBidi"/>
      <w:sz w:val="24"/>
      <w:szCs w:val="20"/>
    </w:rPr>
  </w:style>
  <w:style w:type="character" w:customStyle="1" w:styleId="53">
    <w:name w:val="表格文字 Char"/>
    <w:link w:val="54"/>
    <w:autoRedefine/>
    <w:qFormat/>
    <w:locked/>
    <w:uiPriority w:val="99"/>
    <w:rPr>
      <w:kern w:val="2"/>
      <w:sz w:val="21"/>
    </w:rPr>
  </w:style>
  <w:style w:type="paragraph" w:customStyle="1" w:styleId="54">
    <w:name w:val="表格文字"/>
    <w:basedOn w:val="1"/>
    <w:link w:val="53"/>
    <w:autoRedefine/>
    <w:qFormat/>
    <w:uiPriority w:val="0"/>
    <w:pPr>
      <w:snapToGrid w:val="0"/>
      <w:jc w:val="center"/>
    </w:pPr>
    <w:rPr>
      <w:rFonts w:asciiTheme="minorHAnsi" w:hAnsiTheme="minorHAnsi" w:eastAsiaTheme="minorEastAsia" w:cstheme="minorBidi"/>
      <w:kern w:val="2"/>
      <w:szCs w:val="20"/>
    </w:rPr>
  </w:style>
  <w:style w:type="paragraph" w:styleId="55">
    <w:name w:val="List Paragraph"/>
    <w:basedOn w:val="1"/>
    <w:autoRedefine/>
    <w:qFormat/>
    <w:uiPriority w:val="99"/>
    <w:pPr>
      <w:autoSpaceDE w:val="0"/>
      <w:autoSpaceDN w:val="0"/>
      <w:ind w:left="1539" w:hanging="482"/>
      <w:jc w:val="left"/>
    </w:pPr>
    <w:rPr>
      <w:rFonts w:ascii="宋体" w:hAnsi="宋体" w:cs="宋体"/>
      <w:sz w:val="22"/>
      <w:szCs w:val="22"/>
      <w:u w:val="single" w:color="000000"/>
    </w:rPr>
  </w:style>
  <w:style w:type="paragraph" w:customStyle="1" w:styleId="56">
    <w:name w:val="表头-"/>
    <w:basedOn w:val="1"/>
    <w:autoRedefine/>
    <w:qFormat/>
    <w:uiPriority w:val="0"/>
    <w:pPr>
      <w:spacing w:line="360" w:lineRule="auto"/>
      <w:jc w:val="center"/>
    </w:pPr>
    <w:rPr>
      <w:rFonts w:eastAsia="黑体"/>
      <w:b/>
      <w:kern w:val="2"/>
      <w:szCs w:val="20"/>
    </w:rPr>
  </w:style>
  <w:style w:type="character" w:customStyle="1" w:styleId="57">
    <w:name w:val="标题 3 Char"/>
    <w:basedOn w:val="26"/>
    <w:link w:val="3"/>
    <w:autoRedefine/>
    <w:qFormat/>
    <w:uiPriority w:val="0"/>
    <w:rPr>
      <w:rFonts w:ascii="Times New Roman" w:hAnsi="Times New Roman" w:eastAsia="宋体" w:cs="Times New Roman"/>
      <w:b/>
      <w:bCs/>
      <w:kern w:val="2"/>
      <w:sz w:val="24"/>
      <w:szCs w:val="28"/>
    </w:rPr>
  </w:style>
  <w:style w:type="character" w:customStyle="1" w:styleId="58">
    <w:name w:val="标题 4 Char"/>
    <w:basedOn w:val="26"/>
    <w:link w:val="4"/>
    <w:qFormat/>
    <w:uiPriority w:val="0"/>
    <w:rPr>
      <w:rFonts w:ascii="Times New Roman" w:hAnsi="Times New Roman" w:eastAsia="Times New Roman" w:cs="Times New Roman"/>
      <w:b/>
      <w:bCs/>
      <w:kern w:val="2"/>
      <w:sz w:val="24"/>
      <w:szCs w:val="24"/>
    </w:rPr>
  </w:style>
  <w:style w:type="character" w:customStyle="1" w:styleId="59">
    <w:name w:val="正文缩进 Char"/>
    <w:link w:val="6"/>
    <w:autoRedefine/>
    <w:qFormat/>
    <w:locked/>
    <w:uiPriority w:val="0"/>
    <w:rPr>
      <w:rFonts w:ascii="Times New Roman" w:hAnsi="Times New Roman" w:eastAsia="宋体" w:cs="Times New Roman"/>
    </w:rPr>
  </w:style>
  <w:style w:type="character" w:customStyle="1" w:styleId="60">
    <w:name w:val="报告表正文 Char"/>
    <w:link w:val="61"/>
    <w:autoRedefine/>
    <w:qFormat/>
    <w:locked/>
    <w:uiPriority w:val="0"/>
    <w:rPr>
      <w:rFonts w:ascii="宋体" w:hAnsi="Arial"/>
      <w:kern w:val="2"/>
      <w:sz w:val="24"/>
    </w:rPr>
  </w:style>
  <w:style w:type="paragraph" w:customStyle="1" w:styleId="61">
    <w:name w:val="报告表正文"/>
    <w:basedOn w:val="6"/>
    <w:link w:val="60"/>
    <w:qFormat/>
    <w:uiPriority w:val="0"/>
    <w:rPr>
      <w:rFonts w:ascii="宋体" w:hAnsi="Arial" w:eastAsiaTheme="minorEastAsia" w:cstheme="minorBidi"/>
      <w:kern w:val="2"/>
      <w:sz w:val="24"/>
    </w:rPr>
  </w:style>
  <w:style w:type="paragraph" w:customStyle="1" w:styleId="62">
    <w:name w:val="标题 32"/>
    <w:basedOn w:val="1"/>
    <w:qFormat/>
    <w:uiPriority w:val="1"/>
    <w:pPr>
      <w:autoSpaceDE w:val="0"/>
      <w:autoSpaceDN w:val="0"/>
      <w:ind w:left="2050" w:hanging="1130"/>
      <w:jc w:val="left"/>
      <w:outlineLvl w:val="3"/>
    </w:pPr>
    <w:rPr>
      <w:rFonts w:ascii="Microsoft JhengHei" w:hAnsi="Microsoft JhengHei" w:eastAsia="Microsoft JhengHei" w:cs="Microsoft JhengHei"/>
      <w:b/>
      <w:bCs/>
      <w:sz w:val="28"/>
      <w:szCs w:val="28"/>
      <w:lang w:val="zh-CN" w:bidi="zh-CN"/>
    </w:rPr>
  </w:style>
  <w:style w:type="character" w:customStyle="1" w:styleId="63">
    <w:name w:val="纯文本 Char"/>
    <w:basedOn w:val="26"/>
    <w:link w:val="12"/>
    <w:qFormat/>
    <w:uiPriority w:val="0"/>
    <w:rPr>
      <w:rFonts w:ascii="宋体" w:hAnsi="Courier New" w:eastAsia="宋体" w:cs="宋体"/>
      <w:kern w:val="2"/>
      <w:sz w:val="21"/>
      <w:szCs w:val="21"/>
    </w:rPr>
  </w:style>
  <w:style w:type="character" w:customStyle="1" w:styleId="64">
    <w:name w:val="正文文本缩进 2 Char"/>
    <w:basedOn w:val="26"/>
    <w:link w:val="14"/>
    <w:autoRedefine/>
    <w:qFormat/>
    <w:uiPriority w:val="99"/>
    <w:rPr>
      <w:rFonts w:ascii="Times New Roman" w:hAnsi="Times New Roman" w:eastAsia="宋体" w:cs="Times New Roman"/>
      <w:kern w:val="2"/>
      <w:sz w:val="21"/>
      <w:szCs w:val="21"/>
    </w:rPr>
  </w:style>
  <w:style w:type="character" w:customStyle="1" w:styleId="65">
    <w:name w:val="博士论文正文 Char2"/>
    <w:link w:val="66"/>
    <w:autoRedefine/>
    <w:qFormat/>
    <w:uiPriority w:val="0"/>
    <w:rPr>
      <w:kern w:val="2"/>
      <w:sz w:val="24"/>
      <w:szCs w:val="24"/>
    </w:rPr>
  </w:style>
  <w:style w:type="paragraph" w:customStyle="1" w:styleId="66">
    <w:name w:val="EIS_TEXT"/>
    <w:basedOn w:val="1"/>
    <w:link w:val="65"/>
    <w:qFormat/>
    <w:uiPriority w:val="0"/>
    <w:pPr>
      <w:adjustRightInd w:val="0"/>
      <w:snapToGrid w:val="0"/>
      <w:spacing w:beforeLines="20" w:afterLines="20" w:line="360" w:lineRule="auto"/>
      <w:ind w:firstLine="480" w:firstLineChars="200"/>
      <w:contextualSpacing/>
    </w:pPr>
    <w:rPr>
      <w:rFonts w:asciiTheme="minorHAnsi" w:hAnsiTheme="minorHAnsi" w:eastAsiaTheme="minorEastAsia" w:cstheme="minorBidi"/>
      <w:kern w:val="2"/>
      <w:sz w:val="24"/>
      <w:szCs w:val="24"/>
    </w:rPr>
  </w:style>
  <w:style w:type="character" w:customStyle="1" w:styleId="67">
    <w:name w:val="NormalCharacter"/>
    <w:qFormat/>
    <w:uiPriority w:val="0"/>
    <w:rPr>
      <w:sz w:val="21"/>
      <w:lang w:val="en-US" w:eastAsia="zh-CN" w:bidi="ar-SA"/>
    </w:rPr>
  </w:style>
  <w:style w:type="paragraph" w:customStyle="1" w:styleId="68">
    <w:name w:val="东宝正文"/>
    <w:basedOn w:val="1"/>
    <w:autoRedefine/>
    <w:qFormat/>
    <w:uiPriority w:val="99"/>
    <w:pPr>
      <w:spacing w:line="360" w:lineRule="auto"/>
      <w:ind w:firstLine="420"/>
    </w:pPr>
    <w:rPr>
      <w:color w:val="000000"/>
      <w:sz w:val="24"/>
      <w:szCs w:val="24"/>
    </w:rPr>
  </w:style>
  <w:style w:type="paragraph" w:customStyle="1" w:styleId="69">
    <w:name w:val="表格（窄）"/>
    <w:basedOn w:val="1"/>
    <w:qFormat/>
    <w:uiPriority w:val="99"/>
    <w:pPr>
      <w:jc w:val="center"/>
    </w:pPr>
  </w:style>
  <w:style w:type="character" w:customStyle="1" w:styleId="70">
    <w:name w:val="韩笑表头 Char"/>
    <w:link w:val="71"/>
    <w:qFormat/>
    <w:locked/>
    <w:uiPriority w:val="99"/>
    <w:rPr>
      <w:b/>
      <w:kern w:val="2"/>
      <w:sz w:val="24"/>
    </w:rPr>
  </w:style>
  <w:style w:type="paragraph" w:customStyle="1" w:styleId="71">
    <w:name w:val="韩笑表头"/>
    <w:basedOn w:val="1"/>
    <w:link w:val="70"/>
    <w:qFormat/>
    <w:uiPriority w:val="99"/>
    <w:pPr>
      <w:jc w:val="center"/>
    </w:pPr>
    <w:rPr>
      <w:rFonts w:asciiTheme="minorHAnsi" w:hAnsiTheme="minorHAnsi" w:eastAsiaTheme="minorEastAsia" w:cstheme="minorBidi"/>
      <w:b/>
      <w:kern w:val="2"/>
      <w:sz w:val="24"/>
      <w:szCs w:val="20"/>
    </w:rPr>
  </w:style>
  <w:style w:type="paragraph" w:customStyle="1" w:styleId="72">
    <w:name w:val="文本文本文本"/>
    <w:basedOn w:val="1"/>
    <w:autoRedefine/>
    <w:qFormat/>
    <w:uiPriority w:val="0"/>
    <w:pPr>
      <w:spacing w:line="360" w:lineRule="auto"/>
      <w:ind w:firstLine="480" w:firstLineChars="200"/>
    </w:pPr>
    <w:rPr>
      <w:rFonts w:ascii="宋体" w:hAnsi="宋体" w:cs="宋体"/>
      <w:kern w:val="2"/>
      <w:sz w:val="24"/>
      <w:szCs w:val="20"/>
    </w:rPr>
  </w:style>
  <w:style w:type="character" w:customStyle="1" w:styleId="73">
    <w:name w:val="正文文本缩进 3 Char"/>
    <w:basedOn w:val="26"/>
    <w:link w:val="19"/>
    <w:qFormat/>
    <w:uiPriority w:val="99"/>
    <w:rPr>
      <w:rFonts w:ascii="Times New Roman" w:hAnsi="Times New Roman" w:eastAsia="宋体" w:cs="Times New Roman"/>
      <w:kern w:val="2"/>
      <w:sz w:val="16"/>
      <w:szCs w:val="16"/>
    </w:rPr>
  </w:style>
  <w:style w:type="paragraph" w:customStyle="1" w:styleId="74">
    <w:name w:val="9"/>
    <w:basedOn w:val="1"/>
    <w:qFormat/>
    <w:uiPriority w:val="0"/>
    <w:pPr>
      <w:widowControl/>
      <w:spacing w:before="100" w:beforeAutospacing="1" w:after="100" w:afterAutospacing="1"/>
      <w:jc w:val="left"/>
    </w:pPr>
    <w:rPr>
      <w:rFonts w:ascii="宋体" w:hAnsi="宋体"/>
      <w:sz w:val="24"/>
      <w:szCs w:val="20"/>
    </w:rPr>
  </w:style>
  <w:style w:type="character" w:customStyle="1" w:styleId="75">
    <w:name w:val="博士论文标题3 Char1"/>
    <w:link w:val="76"/>
    <w:qFormat/>
    <w:uiPriority w:val="0"/>
    <w:rPr>
      <w:kern w:val="2"/>
      <w:sz w:val="28"/>
      <w:szCs w:val="24"/>
    </w:rPr>
  </w:style>
  <w:style w:type="paragraph" w:customStyle="1" w:styleId="76">
    <w:name w:val="EIS_TITLE_3"/>
    <w:basedOn w:val="1"/>
    <w:link w:val="75"/>
    <w:autoRedefine/>
    <w:qFormat/>
    <w:uiPriority w:val="0"/>
    <w:pPr>
      <w:tabs>
        <w:tab w:val="left" w:pos="425"/>
      </w:tabs>
      <w:spacing w:beforeLines="20" w:afterLines="20" w:line="360" w:lineRule="auto"/>
      <w:outlineLvl w:val="2"/>
    </w:pPr>
    <w:rPr>
      <w:rFonts w:asciiTheme="minorHAnsi" w:hAnsiTheme="minorHAnsi" w:eastAsiaTheme="minorEastAsia" w:cstheme="minorBidi"/>
      <w:kern w:val="2"/>
      <w:sz w:val="28"/>
      <w:szCs w:val="24"/>
    </w:rPr>
  </w:style>
  <w:style w:type="character" w:customStyle="1" w:styleId="77">
    <w:name w:val="表头 Char"/>
    <w:link w:val="78"/>
    <w:qFormat/>
    <w:uiPriority w:val="0"/>
    <w:rPr>
      <w:b/>
      <w:szCs w:val="21"/>
    </w:rPr>
  </w:style>
  <w:style w:type="paragraph" w:customStyle="1" w:styleId="78">
    <w:name w:val="表头"/>
    <w:next w:val="1"/>
    <w:link w:val="77"/>
    <w:qFormat/>
    <w:uiPriority w:val="0"/>
    <w:pPr>
      <w:tabs>
        <w:tab w:val="left" w:pos="420"/>
      </w:tabs>
      <w:adjustRightInd w:val="0"/>
      <w:snapToGrid w:val="0"/>
      <w:spacing w:line="360" w:lineRule="auto"/>
      <w:ind w:left="425" w:hanging="425"/>
      <w:jc w:val="center"/>
    </w:pPr>
    <w:rPr>
      <w:rFonts w:asciiTheme="minorHAnsi" w:hAnsiTheme="minorHAnsi" w:eastAsiaTheme="minorEastAsia" w:cstheme="minorBidi"/>
      <w:b/>
      <w:szCs w:val="21"/>
      <w:lang w:val="en-US" w:eastAsia="zh-CN" w:bidi="ar-SA"/>
    </w:rPr>
  </w:style>
  <w:style w:type="character" w:customStyle="1" w:styleId="79">
    <w:name w:val="表格 Char"/>
    <w:link w:val="33"/>
    <w:qFormat/>
    <w:locked/>
    <w:uiPriority w:val="0"/>
    <w:rPr>
      <w:rFonts w:ascii="宋体" w:hAnsi="Times New Roman" w:eastAsia="宋体" w:cs="Times New Roman"/>
      <w:sz w:val="21"/>
    </w:rPr>
  </w:style>
  <w:style w:type="paragraph" w:customStyle="1" w:styleId="80">
    <w:name w:val="报告正文"/>
    <w:autoRedefine/>
    <w:qFormat/>
    <w:uiPriority w:val="0"/>
    <w:pPr>
      <w:autoSpaceDE w:val="0"/>
      <w:autoSpaceDN w:val="0"/>
      <w:adjustRightInd w:val="0"/>
      <w:snapToGrid w:val="0"/>
      <w:spacing w:line="360" w:lineRule="auto"/>
      <w:ind w:firstLine="720" w:firstLineChars="200"/>
    </w:pPr>
    <w:rPr>
      <w:rFonts w:ascii="Times New Roman" w:hAnsi="Times New Roman" w:eastAsia="宋体" w:cs="宋体"/>
      <w:sz w:val="21"/>
      <w:szCs w:val="21"/>
      <w:lang w:val="en-US" w:eastAsia="zh-CN" w:bidi="ar-SA"/>
    </w:rPr>
  </w:style>
  <w:style w:type="paragraph" w:customStyle="1" w:styleId="81">
    <w:name w:val="正文1"/>
    <w:autoRedefine/>
    <w:qFormat/>
    <w:uiPriority w:val="0"/>
    <w:pPr>
      <w:jc w:val="both"/>
    </w:pPr>
    <w:rPr>
      <w:rFonts w:ascii="Times New Roman" w:hAnsi="Times New Roman" w:eastAsia="宋体" w:cs="Times New Roman"/>
      <w:kern w:val="2"/>
      <w:sz w:val="21"/>
      <w:szCs w:val="21"/>
      <w:lang w:val="en-US" w:eastAsia="zh-CN" w:bidi="ar-SA"/>
    </w:rPr>
  </w:style>
  <w:style w:type="character" w:customStyle="1" w:styleId="82">
    <w:name w:val="15"/>
    <w:basedOn w:val="26"/>
    <w:autoRedefine/>
    <w:qFormat/>
    <w:uiPriority w:val="0"/>
    <w:rPr>
      <w:rFonts w:hint="default" w:ascii="Times New Roman" w:hAnsi="Times New Roman" w:cs="Times New Roman"/>
    </w:rPr>
  </w:style>
  <w:style w:type="character" w:customStyle="1" w:styleId="83">
    <w:name w:val="标题 1 字符"/>
    <w:basedOn w:val="26"/>
    <w:autoRedefine/>
    <w:qFormat/>
    <w:uiPriority w:val="0"/>
    <w:rPr>
      <w:rFonts w:ascii="Times New Roman" w:hAnsi="Times New Roman" w:eastAsia="宋体" w:cs="Times New Roman"/>
      <w:b/>
      <w:bCs/>
      <w:kern w:val="44"/>
      <w:sz w:val="44"/>
      <w:szCs w:val="44"/>
    </w:rPr>
  </w:style>
  <w:style w:type="character" w:customStyle="1" w:styleId="84">
    <w:name w:val="标题 1 Char"/>
    <w:link w:val="2"/>
    <w:qFormat/>
    <w:uiPriority w:val="0"/>
    <w:rPr>
      <w:rFonts w:ascii="Times New Roman" w:hAnsi="Times New Roman" w:eastAsia="宋体" w:cs="Times New Roman"/>
      <w:b/>
      <w:bCs/>
      <w:kern w:val="44"/>
      <w:sz w:val="44"/>
      <w:szCs w:val="44"/>
      <w:lang w:val="zh-CN" w:eastAsia="zh-CN"/>
    </w:rPr>
  </w:style>
  <w:style w:type="paragraph" w:customStyle="1" w:styleId="85">
    <w:name w:val="_Style 75"/>
    <w:basedOn w:val="8"/>
    <w:next w:val="23"/>
    <w:link w:val="86"/>
    <w:qFormat/>
    <w:uiPriority w:val="0"/>
    <w:pPr>
      <w:autoSpaceDE/>
      <w:autoSpaceDN/>
      <w:spacing w:after="120"/>
      <w:ind w:firstLine="420" w:firstLineChars="100"/>
      <w:jc w:val="both"/>
    </w:pPr>
    <w:rPr>
      <w:rFonts w:asciiTheme="minorHAnsi" w:hAnsiTheme="minorHAnsi" w:eastAsiaTheme="minorEastAsia" w:cstheme="minorBidi"/>
      <w:sz w:val="20"/>
      <w:szCs w:val="20"/>
    </w:rPr>
  </w:style>
  <w:style w:type="character" w:customStyle="1" w:styleId="86">
    <w:name w:val="正文首行缩进 Char"/>
    <w:link w:val="85"/>
    <w:qFormat/>
    <w:uiPriority w:val="0"/>
  </w:style>
  <w:style w:type="character" w:customStyle="1" w:styleId="87">
    <w:name w:val="正文首行缩进 Char1"/>
    <w:basedOn w:val="36"/>
    <w:link w:val="23"/>
    <w:semiHidden/>
    <w:qFormat/>
    <w:uiPriority w:val="0"/>
    <w:rPr>
      <w:rFonts w:ascii="Times New Roman" w:hAnsi="Times New Roman" w:eastAsia="宋体" w:cs="Times New Roman"/>
      <w:sz w:val="21"/>
      <w:szCs w:val="21"/>
    </w:rPr>
  </w:style>
  <w:style w:type="paragraph" w:customStyle="1" w:styleId="88">
    <w:name w:val="正文（我）"/>
    <w:basedOn w:val="1"/>
    <w:qFormat/>
    <w:uiPriority w:val="0"/>
    <w:pPr>
      <w:ind w:firstLine="200"/>
    </w:pPr>
    <w:rPr>
      <w:color w:val="000000"/>
      <w:kern w:val="1"/>
      <w:sz w:val="28"/>
      <w:szCs w:val="24"/>
      <w:lang w:val="zh-CN"/>
    </w:rPr>
  </w:style>
  <w:style w:type="paragraph" w:customStyle="1" w:styleId="89">
    <w:name w:val="正文_18"/>
    <w:basedOn w:val="1"/>
    <w:autoRedefine/>
    <w:qFormat/>
    <w:uiPriority w:val="0"/>
    <w:rPr>
      <w:rFonts w:ascii="Calibri" w:hAnsi="Calibri"/>
      <w:szCs w:val="20"/>
    </w:rPr>
  </w:style>
  <w:style w:type="paragraph" w:customStyle="1" w:styleId="90">
    <w:name w:val="报告书正文"/>
    <w:basedOn w:val="1"/>
    <w:autoRedefine/>
    <w:qFormat/>
    <w:uiPriority w:val="0"/>
    <w:pPr>
      <w:spacing w:line="360" w:lineRule="auto"/>
      <w:ind w:firstLine="480" w:firstLineChars="200"/>
    </w:pPr>
    <w:rPr>
      <w:sz w:val="24"/>
      <w:szCs w:val="24"/>
    </w:rPr>
  </w:style>
  <w:style w:type="paragraph" w:customStyle="1" w:styleId="91">
    <w:name w:val="Default"/>
    <w:basedOn w:val="92"/>
    <w:autoRedefine/>
    <w:qFormat/>
    <w:uiPriority w:val="0"/>
    <w:pPr>
      <w:autoSpaceDE w:val="0"/>
      <w:autoSpaceDN w:val="0"/>
      <w:spacing w:line="360" w:lineRule="auto"/>
      <w:jc w:val="left"/>
    </w:pPr>
    <w:rPr>
      <w:rFonts w:hint="eastAsia"/>
      <w:color w:val="000000"/>
      <w:sz w:val="24"/>
    </w:rPr>
  </w:style>
  <w:style w:type="paragraph" w:customStyle="1" w:styleId="92">
    <w:name w:val="纯文本1"/>
    <w:basedOn w:val="1"/>
    <w:autoRedefine/>
    <w:qFormat/>
    <w:uiPriority w:val="0"/>
    <w:pPr>
      <w:adjustRightInd w:val="0"/>
    </w:pPr>
    <w:rPr>
      <w:rFonts w:ascii="宋体" w:hAnsi="Courier New"/>
      <w:szCs w:val="20"/>
    </w:rPr>
  </w:style>
  <w:style w:type="character" w:customStyle="1" w:styleId="93">
    <w:name w:val="批注文字 Char"/>
    <w:basedOn w:val="26"/>
    <w:link w:val="7"/>
    <w:autoRedefine/>
    <w:semiHidden/>
    <w:qFormat/>
    <w:uiPriority w:val="0"/>
    <w:rPr>
      <w:sz w:val="21"/>
      <w:szCs w:val="21"/>
    </w:rPr>
  </w:style>
  <w:style w:type="character" w:customStyle="1" w:styleId="94">
    <w:name w:val="批注主题 Char"/>
    <w:basedOn w:val="93"/>
    <w:link w:val="22"/>
    <w:autoRedefine/>
    <w:semiHidden/>
    <w:qFormat/>
    <w:uiPriority w:val="0"/>
    <w:rPr>
      <w:b/>
      <w:bCs/>
      <w:sz w:val="21"/>
      <w:szCs w:val="21"/>
    </w:rPr>
  </w:style>
  <w:style w:type="paragraph" w:customStyle="1" w:styleId="95">
    <w:name w:val="正文(首行缩进)"/>
    <w:basedOn w:val="1"/>
    <w:autoRedefine/>
    <w:qFormat/>
    <w:uiPriority w:val="0"/>
    <w:pPr>
      <w:spacing w:line="300" w:lineRule="auto"/>
      <w:ind w:firstLine="200" w:firstLineChars="200"/>
    </w:pPr>
    <w:rPr>
      <w:rFonts w:ascii="宋体" w:hAnsi="宋体" w:cs="宋体"/>
      <w:color w:val="000000"/>
      <w:sz w:val="24"/>
      <w:szCs w:val="24"/>
    </w:rPr>
  </w:style>
  <w:style w:type="paragraph" w:styleId="96">
    <w:name w:val="No Spacing"/>
    <w:qFormat/>
    <w:uiPriority w:val="1"/>
    <w:rPr>
      <w:rFonts w:ascii="Times New Roman" w:hAnsi="Times New Roman" w:eastAsia="宋体" w:cs="Times New Roman"/>
      <w:sz w:val="22"/>
      <w:szCs w:val="21"/>
      <w:lang w:val="en-US" w:eastAsia="zh-CN" w:bidi="ar-SA"/>
    </w:rPr>
  </w:style>
  <w:style w:type="character" w:customStyle="1" w:styleId="97">
    <w:name w:val="style41"/>
    <w:autoRedefine/>
    <w:qFormat/>
    <w:uiPriority w:val="0"/>
    <w:rPr>
      <w:sz w:val="18"/>
      <w:szCs w:val="18"/>
    </w:rPr>
  </w:style>
  <w:style w:type="paragraph" w:customStyle="1" w:styleId="98">
    <w:name w:val="p0"/>
    <w:basedOn w:val="1"/>
    <w:autoRedefine/>
    <w:qFormat/>
    <w:uiPriority w:val="0"/>
  </w:style>
  <w:style w:type="paragraph" w:customStyle="1" w:styleId="99">
    <w:name w:val="hj-正文"/>
    <w:basedOn w:val="1"/>
    <w:qFormat/>
    <w:uiPriority w:val="0"/>
    <w:pPr>
      <w:spacing w:line="360" w:lineRule="auto"/>
      <w:ind w:firstLine="200" w:firstLineChars="200"/>
    </w:pPr>
    <w:rPr>
      <w:rFonts w:ascii="宋体"/>
      <w:sz w:val="24"/>
    </w:rPr>
  </w:style>
  <w:style w:type="paragraph" w:customStyle="1" w:styleId="100">
    <w:name w:val="封面标准文稿编辑信息"/>
    <w:qFormat/>
    <w:uiPriority w:val="0"/>
    <w:pPr>
      <w:spacing w:line="180" w:lineRule="atLeast"/>
      <w:jc w:val="center"/>
    </w:pPr>
    <w:rPr>
      <w:rFonts w:hint="eastAsia"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6.png"/><Relationship Id="rId3" Type="http://schemas.openxmlformats.org/officeDocument/2006/relationships/footer" Target="foot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wmf"/><Relationship Id="rId26" Type="http://schemas.openxmlformats.org/officeDocument/2006/relationships/oleObject" Target="embeddings/oleObject7.bin"/><Relationship Id="rId25" Type="http://schemas.openxmlformats.org/officeDocument/2006/relationships/image" Target="media/image12.wmf"/><Relationship Id="rId24" Type="http://schemas.openxmlformats.org/officeDocument/2006/relationships/oleObject" Target="embeddings/oleObject6.bin"/><Relationship Id="rId23" Type="http://schemas.openxmlformats.org/officeDocument/2006/relationships/image" Target="media/image11.wmf"/><Relationship Id="rId22" Type="http://schemas.openxmlformats.org/officeDocument/2006/relationships/oleObject" Target="embeddings/oleObject5.bin"/><Relationship Id="rId21" Type="http://schemas.openxmlformats.org/officeDocument/2006/relationships/image" Target="media/image10.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41</Pages>
  <Words>7650</Words>
  <Characters>8051</Characters>
  <Lines>221</Lines>
  <Paragraphs>62</Paragraphs>
  <TotalTime>23</TotalTime>
  <ScaleCrop>false</ScaleCrop>
  <LinksUpToDate>false</LinksUpToDate>
  <CharactersWithSpaces>8097</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2021-03-11T02:23:00Z</dcterms:created>
  <dc:creator>kiksids</dc:creator>
  <cp:lastModifiedBy>王宝宇</cp:lastModifiedBy>
  <dcterms:modified xsi:type="dcterms:W3CDTF">2024-11-21T08:18:06Z</dcterms:modified>
  <cp:revision>667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F9AD7213730B4A18AB7179C7C5DEF55F_13</vt:lpwstr>
  </property>
</Properties>
</file>